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6.3.0 -->
  <w:body>
    <w:p>
      <w:pPr>
        <w:numPr>
          <w:ilvl w:val="0"/>
          <w:numId w:val="0"/>
        </w:numPr>
        <w:jc w:val="left"/>
      </w:pPr>
    </w:p>
    <w:sectPr>
      <w:type w:val="nextPage"/>
      <w:pgMar w:header="720" w:footer="720"/>
      <w:pgNumType w:start="3"/>
      <w:cols w:space="720"/>
      <w:titlePg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EF7B9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qFormat/>
    <w:rsid w:val="00EF7B96"/>
    <w:pPr>
      <w:spacing w:after="60"/>
      <w:jc w:val="center"/>
      <w:outlineLvl w:val="1"/>
    </w:pPr>
    <w:rPr>
      <w:rFonts w:ascii="Arial" w:hAnsi="Arial" w:cs="Arial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3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Marcus Oyelaran</Manager>
  <Company>Cascade Partners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Services Agreement - Aldergrove Manufacturing</dc:title>
  <dc:subject>Project Northlight engagement terms</dc:subject>
  <dc:creator>Dana Whitfield</dc:creator>
  <cp:keywords>contract, consulting, engagement, agreement</cp:keywords>
  <cp:lastModifiedBy>Dana Whitfield</cp:lastModifiedBy>
  <cp:revision>1</cp:revision>
  <cp:category>Client engagement</cp:category>
</cp:coreProperties>
</file>