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6.3.0 -->
  <w:body>
    <w:p>
      <w:pPr>
        <w:numPr>
          <w:ilvl w:val="0"/>
          <w:numId w:val="0"/>
        </w:numPr>
        <w:jc w:val="left"/>
      </w:pPr>
      <w:r>
        <w:t>Where a requested change would delay an agreed milestone, the vendor will say so in the change note before the client is asked to approve it.</w:t>
      </w:r>
    </w:p>
    <w:p>
      <w:pPr>
        <w:pStyle w:val="Heading1"/>
        <w:numPr>
          <w:ilvl w:val="0"/>
          <w:numId w:val="0"/>
        </w:numPr>
        <w:jc w:val="left"/>
      </w:pPr>
      <w:r>
        <w:t>5. Intellectual property</w:t>
      </w:r>
    </w:p>
    <w:p>
      <w:pPr>
        <w:numPr>
          <w:ilvl w:val="0"/>
          <w:numId w:val="0"/>
        </w:numPr>
        <w:jc w:val="left"/>
      </w:pPr>
      <w:r>
        <w:t>The client owns the deliverables listed in the statement of work on payment in full. Cascade Partners retains ownership of the methods, templates and tools it brings to the engagement, and grants the client a perpetual, non-exclusive licence to use them to the extent they are embedded in a deliverable.</w:t>
      </w:r>
    </w:p>
    <w:p>
      <w:pPr>
        <w:pStyle w:val="Heading1"/>
        <w:numPr>
          <w:ilvl w:val="0"/>
          <w:numId w:val="0"/>
        </w:numPr>
        <w:jc w:val="left"/>
      </w:pPr>
      <w:r>
        <w:t>6. Data protection</w:t>
      </w:r>
    </w:p>
    <w:p>
      <w:pPr>
        <w:numPr>
          <w:ilvl w:val="0"/>
          <w:numId w:val="0"/>
        </w:numPr>
        <w:jc w:val="left"/>
      </w:pPr>
      <w:r>
        <w:t>The vendor processes client data only to the extent needed to deliver the engagement, and only on documented instructions from the client. Personal data encountered during discovery is pseudonymised before analysis.</w:t>
      </w:r>
    </w:p>
    <w:p>
      <w:pPr>
        <w:numPr>
          <w:ilvl w:val="0"/>
          <w:numId w:val="0"/>
        </w:numPr>
        <w:jc w:val="left"/>
      </w:pPr>
      <w:r>
        <w:t>Transaction records shared for analysis are deleted or returned within thirty days of the final deliverable being accepted.</w:t>
      </w:r>
    </w:p>
    <w:p>
      <w:pPr>
        <w:pStyle w:val="Heading1"/>
        <w:numPr>
          <w:ilvl w:val="0"/>
          <w:numId w:val="0"/>
        </w:numPr>
        <w:jc w:val="left"/>
      </w:pPr>
      <w:r>
        <w:t>7. Confidentiality</w:t>
      </w:r>
    </w:p>
    <w:p>
      <w:pPr>
        <w:numPr>
          <w:ilvl w:val="0"/>
          <w:numId w:val="0"/>
        </w:numPr>
        <w:jc w:val="left"/>
      </w:pPr>
      <w:r>
        <w:t>Both parties will treat the existence and content of Project Northlight as confidential. Neither party will disclose the other's confidential information to a third party without prior written consent, except where required by law.</w:t>
      </w:r>
    </w:p>
    <w:p>
      <w:pPr>
        <w:numPr>
          <w:ilvl w:val="0"/>
          <w:numId w:val="0"/>
        </w:numPr>
        <w:jc w:val="left"/>
      </w:pPr>
      <w:r>
        <w:t>This clause survives termination of the agreement by five years.</w:t>
      </w:r>
    </w:p>
    <w:p>
      <w:pPr>
        <w:pStyle w:val="Heading1"/>
        <w:numPr>
          <w:ilvl w:val="0"/>
          <w:numId w:val="0"/>
        </w:numPr>
        <w:jc w:val="left"/>
      </w:pPr>
      <w:r>
        <w:t>8. Liability</w:t>
      </w:r>
    </w:p>
    <w:p>
      <w:pPr>
        <w:numPr>
          <w:ilvl w:val="0"/>
          <w:numId w:val="0"/>
        </w:numPr>
        <w:jc w:val="left"/>
      </w:pPr>
      <w:r>
        <w:t>Neither party excludes liability for death or personal injury caused by negligence, or for fraud. Subject to that, each party's total liability is capped at the total contract value.</w:t>
      </w:r>
    </w:p>
    <w:p>
      <w:pPr>
        <w:numPr>
          <w:ilvl w:val="0"/>
          <w:numId w:val="0"/>
        </w:numPr>
        <w:jc w:val="left"/>
      </w:pPr>
      <w:r>
        <w:t>Neither party is liable for indirect or consequential loss, including loss of profit, revenue or anticipated savings.</w:t>
      </w:r>
    </w:p>
    <w:p>
      <w:pPr>
        <w:pStyle w:val="Heading1"/>
        <w:numPr>
          <w:ilvl w:val="0"/>
          <w:numId w:val="0"/>
        </w:numPr>
        <w:jc w:val="left"/>
      </w:pPr>
      <w:r>
        <w:t>9. Termination</w:t>
      </w:r>
    </w:p>
    <w:p>
      <w:pPr>
        <w:numPr>
          <w:ilvl w:val="0"/>
          <w:numId w:val="0"/>
        </w:numPr>
        <w:jc w:val="left"/>
      </w:pPr>
      <w:r>
        <w:t>Either party may terminate on thirty days' written notice. On termination the client pays for work completed and accepted up to the termination date, together with any expenses already committed and not recoverable.</w:t>
      </w:r>
    </w:p>
    <w:p>
      <w:pPr>
        <w:pStyle w:val="Heading1"/>
        <w:numPr>
          <w:ilvl w:val="0"/>
          <w:numId w:val="0"/>
        </w:numPr>
        <w:jc w:val="left"/>
      </w:pPr>
      <w:r>
        <w:t>10. Acceptance</w:t>
      </w:r>
    </w:p>
    <w:p>
      <w:pPr>
        <w:numPr>
          <w:ilvl w:val="0"/>
          <w:numId w:val="0"/>
        </w:numPr>
        <w:jc w:val="left"/>
      </w:pPr>
      <w:r>
        <w:t>Deliverables are accepted once they pass the acceptance criteria agreed at the start of each workstream. Acceptance will not be unreasonably withheld.</w:t>
      </w:r>
    </w:p>
    <w:p>
      <w:pPr>
        <w:numPr>
          <w:ilvl w:val="0"/>
          <w:numId w:val="0"/>
        </w:numPr>
        <w:jc w:val="left"/>
      </w:pPr>
    </w:p>
    <w:p>
      <w:pPr>
        <w:numPr>
          <w:ilvl w:val="0"/>
          <w:numId w:val="0"/>
        </w:numPr>
        <w:jc w:val="left"/>
      </w:pPr>
      <w:r>
        <w:t>Questions about this agreement should go to hello@cascadepartners.example.</w:t>
      </w:r>
    </w:p>
    <w:p>
      <w:pPr>
        <w:numPr>
          <w:ilvl w:val="0"/>
          <w:numId w:val="0"/>
        </w:numPr>
        <w:jc w:val="left"/>
      </w:pPr>
      <w:hyperlink r:id="rId4" w:history="1">
        <w:r>
          <w:rPr>
            <w:rStyle w:val="Hyperlink"/>
          </w:rPr>
          <w:t>https://cascadepartners.example</w:t>
        </w:r>
      </w:hyperlink>
    </w:p>
    <w:p>
      <w:pPr>
        <w:pStyle w:val="Heading1"/>
        <w:numPr>
          <w:ilvl w:val="0"/>
          <w:numId w:val="0"/>
        </w:numPr>
        <w:jc w:val="left"/>
      </w:pPr>
      <w:r>
        <w:t>11. Signatures</w:t>
      </w:r>
    </w:p>
    <w:p>
      <w:pPr>
        <w:numPr>
          <w:ilvl w:val="0"/>
          <w:numId w:val="0"/>
        </w:numPr>
        <w:jc w:val="left"/>
      </w:pPr>
      <w:r>
        <w:t>Signed for Cascade Partners: ____________________   Date: ____________</w:t>
      </w:r>
    </w:p>
    <w:p>
      <w:pPr>
        <w:numPr>
          <w:ilvl w:val="0"/>
          <w:numId w:val="0"/>
        </w:numPr>
        <w:jc w:val="left"/>
      </w:pPr>
    </w:p>
    <w:p>
      <w:pPr>
        <w:numPr>
          <w:ilvl w:val="0"/>
          <w:numId w:val="0"/>
        </w:numPr>
        <w:jc w:val="left"/>
      </w:pPr>
      <w:r>
        <w:t>Signed for Aldergrove Manufacturing: ____________________   Date: ____________</w:t>
      </w:r>
    </w:p>
    <w:sectPr>
      <w:type w:val="nextPage"/>
      <w:pgMar w:header="720" w:footer="720"/>
      <w:pgNumType w:start="2"/>
      <w:cols w:space="720"/>
      <w:titlePg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spacing w:before="240" w:after="60"/>
      <w:jc w:val="center"/>
      <w:outlineLvl w:val="0"/>
    </w:pPr>
    <w:rPr>
      <w:rFonts w:ascii="Arial" w:hAnsi="Arial" w:cs="Arial"/>
      <w:b/>
      <w:bCs/>
      <w:kern w:val="28"/>
      <w:sz w:val="32"/>
      <w:szCs w:val="32"/>
    </w:rPr>
  </w:style>
  <w:style w:type="paragraph" w:styleId="Subtitle">
    <w:name w:val="Subtitle"/>
    <w:basedOn w:val="Normal"/>
    <w:qFormat/>
    <w:rsid w:val="00EF7B96"/>
    <w:pPr>
      <w:spacing w:after="60"/>
      <w:jc w:val="center"/>
      <w:outlineLvl w:val="1"/>
    </w:pPr>
    <w:rPr>
      <w:rFonts w:ascii="Arial" w:hAnsi="Arial" w:cs="Arial"/>
    </w:rPr>
  </w:style>
  <w:style w:type="character" w:styleId="Hyperlink">
    <w:name w:val="Hyperlink"/>
    <w:basedOn w:val="DefaultParagraphFont"/>
    <w:rsid w:val="00EF7B96"/>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cascadepartners.example" TargetMode="Externa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3</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Marcus Oyelaran</Manager>
  <Company>Cascade Partners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Consulting Services Agreement - Aldergrove Manufacturing</dc:title>
  <dc:subject>Project Northlight engagement terms</dc:subject>
  <dc:creator>Dana Whitfield</dc:creator>
  <cp:keywords>contract, consulting, engagement, agreement</cp:keywords>
  <cp:lastModifiedBy>Dana Whitfield</cp:lastModifiedBy>
  <cp:revision>1</cp:revision>
  <cp:category>Client engagement</cp:category>
</cp:coreProperties>
</file>