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6.3.0 -->
  <w:body>
    <w:p>
      <w:r>
        <w:drawing>
          <wp:inline>
            <wp:extent cx="2159000" cy="647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2159000" cy="647700"/>
                    </a:xfrm>
                    <a:prstGeom prst="rect">
                      <a:avLst/>
                    </a:prstGeom>
                  </pic:spPr>
                </pic:pic>
              </a:graphicData>
            </a:graphic>
          </wp:inline>
        </w:drawing>
      </w:r>
    </w:p>
    <w:p>
      <w:pPr>
        <w:pStyle w:val="Title"/>
        <w:jc w:val="left"/>
      </w:pPr>
      <w:r>
        <w:t>Consulting Services Agreement</w:t>
      </w:r>
    </w:p>
    <w:p>
      <w:pPr>
        <w:pStyle w:val="Subtitle"/>
        <w:jc w:val="left"/>
      </w:pPr>
      <w:r>
        <w:t>Cascade Partners and Aldergrove Manufacturing</w:t>
      </w:r>
    </w:p>
    <w:p>
      <w:pPr>
        <w:jc w:val="left"/>
      </w:pPr>
      <w:r>
        <w:t>This agreement records the terms under which Cascade Partners will deliver the engagement known internally as Project Northlight. It is issued by Dana Whitfield, Engagement Lead, and countersigned by Marcus Oyelaran.</w:t>
      </w:r>
    </w:p>
    <w:p>
      <w:pPr>
        <w:jc w:val="left"/>
      </w:pPr>
    </w:p>
    <w:p>
      <w:pPr>
        <w:pStyle w:val="Heading1"/>
        <w:jc w:val="left"/>
      </w:pPr>
      <w:r>
        <w:t>1. Scope of work</w:t>
      </w:r>
    </w:p>
    <w:p>
      <w:pPr>
        <w:jc w:val="left"/>
      </w:pPr>
      <w:r>
        <w:t>Cascade Partners will review the current order-to-cash process at Aldergrove Manufacturing, identify the constraints limiting throughput, and deliver a prioritised remediation plan with an implementation roadmap.</w:t>
      </w:r>
    </w:p>
    <w:p>
      <w:pPr>
        <w:jc w:val="left"/>
      </w:pPr>
      <w:r>
        <w:t>The engagement covers the following workstreams:</w:t>
      </w:r>
    </w:p>
    <w:p>
      <w:pPr>
        <w:numPr>
          <w:ilvl w:val="0"/>
          <w:numId w:val="1"/>
        </w:numPr>
        <w:jc w:val="left"/>
      </w:pPr>
      <w:r>
        <w:t>Process discovery across order intake, fulfilment and invoicing</w:t>
      </w:r>
    </w:p>
    <w:p>
      <w:pPr>
        <w:numPr>
          <w:ilvl w:val="0"/>
          <w:numId w:val="1"/>
        </w:numPr>
        <w:jc w:val="left"/>
      </w:pPr>
      <w:r>
        <w:t>Data analysis of eighteen months of transaction history</w:t>
      </w:r>
    </w:p>
    <w:p>
      <w:pPr>
        <w:numPr>
          <w:ilvl w:val="0"/>
          <w:numId w:val="1"/>
        </w:numPr>
        <w:jc w:val="left"/>
      </w:pPr>
      <w:r>
        <w:t>Constraint modelling and options appraisal</w:t>
      </w:r>
    </w:p>
    <w:p>
      <w:pPr>
        <w:numPr>
          <w:ilvl w:val="0"/>
          <w:numId w:val="1"/>
        </w:numPr>
        <w:jc w:val="left"/>
      </w:pPr>
      <w:r>
        <w:t>A remediation roadmap with sequencing and effort estimates</w:t>
      </w:r>
    </w:p>
    <w:p>
      <w:pPr>
        <w:pStyle w:val="Heading1"/>
        <w:numPr>
          <w:ilvl w:val="0"/>
          <w:numId w:val="0"/>
        </w:numPr>
        <w:jc w:val="left"/>
      </w:pPr>
      <w:r>
        <w:t>2. Schedule</w:t>
      </w:r>
    </w:p>
    <w:p>
      <w:pPr>
        <w:numPr>
          <w:ilvl w:val="0"/>
          <w:numId w:val="0"/>
        </w:numPr>
        <w:jc w:val="left"/>
      </w:pPr>
      <w:r>
        <w:t>The vendor shall deliver the completed remediation plan by 30 June 2026.</w:t>
      </w:r>
    </w:p>
    <w:p>
      <w:pPr>
        <w:numPr>
          <w:ilvl w:val="0"/>
          <w:numId w:val="0"/>
        </w:numPr>
        <w:jc w:val="left"/>
      </w:pPr>
      <w:r>
        <w:t>Interim findings will be presented at the end of each workstream. The client will provide feedback within five working days of each presentation.</w:t>
      </w:r>
    </w:p>
    <w:p>
      <w:pPr>
        <w:pStyle w:val="Heading2"/>
        <w:numPr>
          <w:ilvl w:val="0"/>
          <w:numId w:val="0"/>
        </w:numPr>
        <w:jc w:val="left"/>
      </w:pPr>
      <w:r>
        <w:t>2.1 Milestones</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3225"/>
        <w:gridCol w:w="2825"/>
        <w:gridCol w:w="3526"/>
      </w:tblGrid>
      <w:tr>
        <w:tblPrEx>
          <w:tblW w:w="5000" w:type="pct"/>
        </w:tblPrEx>
        <w:tc>
          <w:tcPr>
            <w:shd w:val="clear" w:color="auto" w:fill="1E6F8B"/>
          </w:tcPr>
          <w:p>
            <w:pPr>
              <w:numPr>
                <w:ilvl w:val="0"/>
                <w:numId w:val="0"/>
              </w:numPr>
              <w:jc w:val="left"/>
              <w:rPr>
                <w:b/>
                <w:color w:val="FFFFFF"/>
              </w:rPr>
            </w:pPr>
            <w:r>
              <w:rPr>
                <w:b/>
                <w:color w:val="FFFFFF"/>
              </w:rPr>
              <w:t>Milestone</w:t>
            </w:r>
          </w:p>
        </w:tc>
        <w:tc>
          <w:tcPr>
            <w:shd w:val="clear" w:color="auto" w:fill="1E6F8B"/>
          </w:tcPr>
          <w:p>
            <w:pPr>
              <w:numPr>
                <w:ilvl w:val="0"/>
                <w:numId w:val="0"/>
              </w:numPr>
              <w:jc w:val="left"/>
              <w:rPr>
                <w:b/>
                <w:color w:val="FFFFFF"/>
              </w:rPr>
            </w:pPr>
            <w:r>
              <w:rPr>
                <w:b/>
                <w:color w:val="FFFFFF"/>
              </w:rPr>
              <w:t>Owner</w:t>
            </w:r>
          </w:p>
        </w:tc>
        <w:tc>
          <w:tcPr>
            <w:shd w:val="clear" w:color="auto" w:fill="1E6F8B"/>
          </w:tcPr>
          <w:p>
            <w:pPr>
              <w:numPr>
                <w:ilvl w:val="0"/>
                <w:numId w:val="0"/>
              </w:numPr>
              <w:jc w:val="left"/>
              <w:rPr>
                <w:b w:val="0"/>
                <w:color w:val="000000"/>
              </w:rPr>
            </w:pPr>
            <w:r>
              <w:rPr>
                <w:b/>
                <w:color w:val="FFFFFF"/>
              </w:rPr>
              <w:t>Workstream</w:t>
            </w:r>
          </w:p>
        </w:tc>
      </w:tr>
      <w:tr>
        <w:tblPrEx>
          <w:tblW w:w="5000" w:type="pct"/>
        </w:tblPrEx>
        <w:tc>
          <w:tcPr>
            <w:shd w:val="clear" w:color="auto" w:fill="auto"/>
          </w:tcPr>
          <w:p>
            <w:pPr>
              <w:numPr>
                <w:ilvl w:val="0"/>
                <w:numId w:val="0"/>
              </w:numPr>
              <w:jc w:val="left"/>
              <w:rPr>
                <w:b w:val="0"/>
                <w:color w:val="000000"/>
              </w:rPr>
            </w:pPr>
            <w:r>
              <w:rPr>
                <w:b w:val="0"/>
                <w:color w:val="000000"/>
              </w:rPr>
              <w:t>Discovery complete</w:t>
            </w:r>
          </w:p>
        </w:tc>
        <w:tc>
          <w:tcPr>
            <w:shd w:val="clear" w:color="auto" w:fill="auto"/>
          </w:tcPr>
          <w:p>
            <w:pPr>
              <w:numPr>
                <w:ilvl w:val="0"/>
                <w:numId w:val="0"/>
              </w:numPr>
              <w:jc w:val="left"/>
              <w:rPr>
                <w:b w:val="0"/>
                <w:color w:val="000000"/>
              </w:rPr>
            </w:pPr>
            <w:r>
              <w:rPr>
                <w:b w:val="0"/>
                <w:color w:val="000000"/>
              </w:rPr>
              <w:t>Dana Whitfield</w:t>
            </w:r>
          </w:p>
        </w:tc>
        <w:tc>
          <w:tcPr>
            <w:shd w:val="clear" w:color="auto" w:fill="auto"/>
          </w:tcPr>
          <w:p>
            <w:pPr>
              <w:numPr>
                <w:ilvl w:val="0"/>
                <w:numId w:val="0"/>
              </w:numPr>
              <w:jc w:val="left"/>
              <w:rPr>
                <w:b w:val="0"/>
                <w:color w:val="000000"/>
              </w:rPr>
            </w:pPr>
            <w:r>
              <w:rPr>
                <w:b w:val="0"/>
                <w:color w:val="000000"/>
              </w:rPr>
              <w:t>Process discovery</w:t>
            </w:r>
          </w:p>
        </w:tc>
      </w:tr>
      <w:tr>
        <w:tblPrEx>
          <w:tblW w:w="5000" w:type="pct"/>
        </w:tblPrEx>
        <w:tc>
          <w:tcPr>
            <w:shd w:val="clear" w:color="auto" w:fill="auto"/>
          </w:tcPr>
          <w:p>
            <w:pPr>
              <w:numPr>
                <w:ilvl w:val="0"/>
                <w:numId w:val="0"/>
              </w:numPr>
              <w:jc w:val="left"/>
              <w:rPr>
                <w:b w:val="0"/>
                <w:color w:val="000000"/>
              </w:rPr>
            </w:pPr>
            <w:r>
              <w:rPr>
                <w:b w:val="0"/>
                <w:color w:val="000000"/>
              </w:rPr>
              <w:t>Analysis complete</w:t>
            </w:r>
          </w:p>
        </w:tc>
        <w:tc>
          <w:tcPr>
            <w:shd w:val="clear" w:color="auto" w:fill="auto"/>
          </w:tcPr>
          <w:p>
            <w:pPr>
              <w:numPr>
                <w:ilvl w:val="0"/>
                <w:numId w:val="0"/>
              </w:numPr>
              <w:jc w:val="left"/>
              <w:rPr>
                <w:b w:val="0"/>
                <w:color w:val="000000"/>
              </w:rPr>
            </w:pPr>
            <w:r>
              <w:rPr>
                <w:b w:val="0"/>
                <w:color w:val="000000"/>
              </w:rPr>
              <w:t>Marcus Oyelaran</w:t>
            </w:r>
          </w:p>
        </w:tc>
        <w:tc>
          <w:tcPr>
            <w:shd w:val="clear" w:color="auto" w:fill="auto"/>
          </w:tcPr>
          <w:p>
            <w:pPr>
              <w:numPr>
                <w:ilvl w:val="0"/>
                <w:numId w:val="0"/>
              </w:numPr>
              <w:jc w:val="left"/>
              <w:rPr>
                <w:b w:val="0"/>
                <w:color w:val="000000"/>
              </w:rPr>
            </w:pPr>
            <w:r>
              <w:rPr>
                <w:b w:val="0"/>
                <w:color w:val="000000"/>
              </w:rPr>
              <w:t>Data analysis</w:t>
            </w:r>
          </w:p>
        </w:tc>
      </w:tr>
      <w:tr>
        <w:tblPrEx>
          <w:tblW w:w="5000" w:type="pct"/>
        </w:tblPrEx>
        <w:tc>
          <w:tcPr>
            <w:shd w:val="clear" w:color="auto" w:fill="auto"/>
          </w:tcPr>
          <w:p>
            <w:pPr>
              <w:numPr>
                <w:ilvl w:val="0"/>
                <w:numId w:val="0"/>
              </w:numPr>
              <w:jc w:val="left"/>
              <w:rPr>
                <w:b w:val="0"/>
                <w:color w:val="000000"/>
              </w:rPr>
            </w:pPr>
            <w:r>
              <w:rPr>
                <w:b w:val="0"/>
                <w:color w:val="000000"/>
              </w:rPr>
              <w:t>Draft roadmap</w:t>
            </w:r>
          </w:p>
        </w:tc>
        <w:tc>
          <w:tcPr>
            <w:shd w:val="clear" w:color="auto" w:fill="auto"/>
          </w:tcPr>
          <w:p>
            <w:pPr>
              <w:numPr>
                <w:ilvl w:val="0"/>
                <w:numId w:val="0"/>
              </w:numPr>
              <w:jc w:val="left"/>
              <w:rPr>
                <w:b w:val="0"/>
                <w:color w:val="000000"/>
              </w:rPr>
            </w:pPr>
            <w:r>
              <w:rPr>
                <w:b w:val="0"/>
                <w:color w:val="000000"/>
              </w:rPr>
              <w:t>Dana Whitfield</w:t>
            </w:r>
          </w:p>
        </w:tc>
        <w:tc>
          <w:tcPr>
            <w:shd w:val="clear" w:color="auto" w:fill="auto"/>
          </w:tcPr>
          <w:p>
            <w:pPr>
              <w:numPr>
                <w:ilvl w:val="0"/>
                <w:numId w:val="0"/>
              </w:numPr>
              <w:jc w:val="left"/>
              <w:rPr>
                <w:b w:val="0"/>
                <w:color w:val="000000"/>
              </w:rPr>
            </w:pPr>
            <w:r>
              <w:rPr>
                <w:b w:val="0"/>
                <w:color w:val="000000"/>
              </w:rPr>
              <w:t>Constraint modelling</w:t>
            </w:r>
          </w:p>
        </w:tc>
      </w:tr>
      <w:tr>
        <w:tblPrEx>
          <w:tblW w:w="5000" w:type="pct"/>
        </w:tblPrEx>
        <w:tc>
          <w:tcPr>
            <w:shd w:val="clear" w:color="auto" w:fill="auto"/>
          </w:tcPr>
          <w:p>
            <w:pPr>
              <w:numPr>
                <w:ilvl w:val="0"/>
                <w:numId w:val="0"/>
              </w:numPr>
              <w:jc w:val="left"/>
              <w:rPr>
                <w:b w:val="0"/>
                <w:color w:val="000000"/>
              </w:rPr>
            </w:pPr>
            <w:r>
              <w:rPr>
                <w:b w:val="0"/>
                <w:color w:val="000000"/>
              </w:rPr>
              <w:t>Final plan delivered</w:t>
            </w:r>
          </w:p>
        </w:tc>
        <w:tc>
          <w:tcPr>
            <w:shd w:val="clear" w:color="auto" w:fill="auto"/>
          </w:tcPr>
          <w:p>
            <w:pPr>
              <w:numPr>
                <w:ilvl w:val="0"/>
                <w:numId w:val="0"/>
              </w:numPr>
              <w:jc w:val="left"/>
              <w:rPr>
                <w:b w:val="0"/>
                <w:color w:val="000000"/>
              </w:rPr>
            </w:pPr>
            <w:r>
              <w:rPr>
                <w:b w:val="0"/>
                <w:color w:val="000000"/>
              </w:rPr>
              <w:t>Dana Whitfield</w:t>
            </w:r>
          </w:p>
        </w:tc>
        <w:tc>
          <w:tcPr>
            <w:shd w:val="clear" w:color="auto" w:fill="auto"/>
          </w:tcPr>
          <w:p>
            <w:pPr>
              <w:numPr>
                <w:ilvl w:val="0"/>
                <w:numId w:val="0"/>
              </w:numPr>
              <w:jc w:val="left"/>
              <w:rPr>
                <w:b w:val="0"/>
                <w:color w:val="000000"/>
              </w:rPr>
            </w:pPr>
            <w:r>
              <w:rPr>
                <w:b w:val="0"/>
                <w:color w:val="000000"/>
              </w:rPr>
              <w:t>Remediation roadmap</w:t>
            </w:r>
          </w:p>
        </w:tc>
      </w:tr>
    </w:tbl>
    <w:p>
      <w:pPr>
        <w:numPr>
          <w:ilvl w:val="0"/>
          <w:numId w:val="0"/>
        </w:numPr>
        <w:jc w:val="left"/>
      </w:pPr>
    </w:p>
    <w:p>
      <w:pPr>
        <w:pStyle w:val="Heading1"/>
        <w:numPr>
          <w:ilvl w:val="0"/>
          <w:numId w:val="0"/>
        </w:numPr>
        <w:jc w:val="left"/>
      </w:pPr>
      <w:r>
        <w:t>3. Fees</w:t>
      </w:r>
    </w:p>
    <w:p>
      <w:pPr>
        <w:numPr>
          <w:ilvl w:val="0"/>
          <w:numId w:val="0"/>
        </w:numPr>
        <w:jc w:val="left"/>
      </w:pPr>
      <w:r>
        <w:t>The total contract value is 120,000 USD, payable in three instalments.</w:t>
      </w:r>
    </w:p>
    <w:p>
      <w:pPr>
        <w:numPr>
          <w:ilvl w:val="0"/>
          <w:numId w:val="0"/>
        </w:numPr>
        <w:jc w:val="left"/>
      </w:pPr>
      <w:r>
        <w:t>Invoices are issued on milestone acceptance and are payable within thirty days. Expenses are billed at cost and require prior written approval.</w:t>
      </w:r>
    </w:p>
    <w:p>
      <w:pPr>
        <w:pStyle w:val="Heading1"/>
        <w:numPr>
          <w:ilvl w:val="0"/>
          <w:numId w:val="0"/>
        </w:numPr>
        <w:jc w:val="left"/>
      </w:pPr>
      <w:r>
        <w:t>4. Change control</w:t>
      </w:r>
    </w:p>
    <w:p>
      <w:pPr>
        <w:numPr>
          <w:ilvl w:val="0"/>
          <w:numId w:val="0"/>
        </w:numPr>
        <w:jc w:val="left"/>
      </w:pPr>
      <w:r>
        <w:t>Either party may request a change to the scope, schedule or fees. A change takes effect only once both parties have signed a written change note recording its impact on each of the three.</w:t>
      </w:r>
    </w:p>
    <w:sectPr>
      <w:pgMar w:header="720" w:footer="72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spacing w:before="240" w:after="60"/>
      <w:jc w:val="center"/>
      <w:outlineLvl w:val="0"/>
    </w:pPr>
    <w:rPr>
      <w:rFonts w:ascii="Arial" w:hAnsi="Arial" w:cs="Arial"/>
      <w:b/>
      <w:bCs/>
      <w:kern w:val="28"/>
      <w:sz w:val="32"/>
      <w:szCs w:val="32"/>
    </w:rPr>
  </w:style>
  <w:style w:type="paragraph" w:styleId="Subtitle">
    <w:name w:val="Subtitle"/>
    <w:basedOn w:val="Normal"/>
    <w:qFormat/>
    <w:rsid w:val="00EF7B96"/>
    <w:pPr>
      <w:spacing w:after="60"/>
      <w:jc w:val="center"/>
      <w:outlineLvl w:val="1"/>
    </w:pPr>
    <w:rPr>
      <w:rFonts w:ascii="Arial" w:hAnsi="Arial" w:cs="Arial"/>
    </w:rPr>
  </w:style>
  <w:style w:type="character" w:styleId="Hyperlink">
    <w:name w:val="Hyperlink"/>
    <w:basedOn w:val="DefaultParagraphFont"/>
    <w:rsid w:val="00EF7B9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3</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Marcus Oyelaran</Manager>
  <Company>Cascade Partners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 Services Agreement - Aldergrove Manufacturing</dc:title>
  <dc:subject>Project Northlight engagement terms</dc:subject>
  <dc:creator>Dana Whitfield</dc:creator>
  <cp:keywords>contract, consulting, engagement, agreement</cp:keywords>
  <cp:lastModifiedBy>Dana Whitfield</cp:lastModifiedBy>
  <cp:revision>1</cp:revision>
  <cp:category>Client engagement</cp:category>
</cp:coreProperties>
</file>