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0.0 -->
  <w:body>
    <w:p>
      <w:r>
        <w:drawing>
          <wp:inline>
            <wp:extent cx="2159000" cy="647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>Statement of Work</w:t>
      </w:r>
    </w:p>
    <w:p>
      <w:pPr>
        <w:pStyle w:val="Subtitle"/>
        <w:jc w:val="left"/>
      </w:pPr>
      <w:r>
        <w:t>Appendix A to the Aldergrove Manufacturing agreement</w:t>
      </w:r>
    </w:p>
    <w:p>
      <w:pPr>
        <w:jc w:val="left"/>
      </w:pPr>
      <w:r>
        <w:t>This statement of work expands the workstreams named in the agreement into concrete activities, owners and outputs. It is intended to be bound to the agreement as an appendix.</w:t>
      </w:r>
    </w:p>
    <w:p>
      <w:pPr>
        <w:pStyle w:val="Heading1"/>
        <w:jc w:val="left"/>
      </w:pPr>
      <w:r>
        <w:t>A.1 Discovery</w:t>
      </w:r>
    </w:p>
    <w:p>
      <w:pPr>
        <w:jc w:val="left"/>
      </w:pPr>
      <w:r>
        <w:t>Interview process owners across order intake, fulfilment and invoicing. Walk each step, record handoffs, and capture the systems of record involved.</w:t>
      </w:r>
    </w:p>
    <w:p>
      <w:pPr>
        <w:numPr>
          <w:ilvl w:val="0"/>
          <w:numId w:val="1"/>
        </w:numPr>
        <w:jc w:val="left"/>
      </w:pPr>
      <w:r>
        <w:t>Twelve semi-structured interviews, sixty minutes each</w:t>
      </w:r>
    </w:p>
    <w:p>
      <w:pPr>
        <w:numPr>
          <w:ilvl w:val="0"/>
          <w:numId w:val="1"/>
        </w:numPr>
        <w:jc w:val="left"/>
      </w:pPr>
      <w:r>
        <w:t>A process map per workstream, validated with the owner</w:t>
      </w:r>
    </w:p>
    <w:p>
      <w:pPr>
        <w:numPr>
          <w:ilvl w:val="0"/>
          <w:numId w:val="1"/>
        </w:numPr>
        <w:jc w:val="left"/>
      </w:pPr>
      <w:r>
        <w:t>A register of handoffs, wait states and rework loops</w:t>
      </w:r>
    </w:p>
    <w:p>
      <w:pPr>
        <w:pStyle w:val="Heading1"/>
        <w:numPr>
          <w:ilvl w:val="0"/>
          <w:numId w:val="0"/>
        </w:numPr>
        <w:jc w:val="left"/>
      </w:pPr>
      <w:r>
        <w:t>A.2 Analysis</w:t>
      </w:r>
    </w:p>
    <w:p>
      <w:pPr>
        <w:numPr>
          <w:ilvl w:val="0"/>
          <w:numId w:val="0"/>
        </w:numPr>
        <w:jc w:val="left"/>
      </w:pPr>
      <w:r>
        <w:t>Model throughput against the constraint register and quantify the cost of each wait state. Options are appraised on effort, risk and expected recovery.</w:t>
      </w:r>
    </w:p>
    <w:p>
      <w:pPr>
        <w:pStyle w:val="Heading1"/>
        <w:numPr>
          <w:ilvl w:val="0"/>
          <w:numId w:val="0"/>
        </w:numPr>
        <w:jc w:val="left"/>
      </w:pPr>
      <w:r>
        <w:t>A.3 Roadmap</w:t>
      </w:r>
    </w:p>
    <w:p>
      <w:pPr>
        <w:numPr>
          <w:ilvl w:val="0"/>
          <w:numId w:val="0"/>
        </w:numPr>
        <w:jc w:val="left"/>
      </w:pPr>
      <w:r>
        <w:t>Sequence the remediations into waves that can be delivered without pausing operations, with effort estimates and a recommended owner for each.</w:t>
      </w:r>
    </w:p>
    <w:p>
      <w:pPr>
        <w:pStyle w:val="Heading1"/>
        <w:numPr>
          <w:ilvl w:val="0"/>
          <w:numId w:val="0"/>
        </w:numPr>
        <w:jc w:val="left"/>
      </w:pPr>
      <w:r>
        <w:t>A.4 Deliverables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61"/>
        <w:gridCol w:w="2247"/>
        <w:gridCol w:w="1832"/>
      </w:tblGrid>
      <w:tr>
        <w:tblPrEx>
          <w:tblW w:w="5000" w:type="pct"/>
        </w:tblPrEx>
        <w:tc>
          <w:tcPr>
            <w:shd w:val="clear" w:color="auto" w:fill="1E6F8B"/>
          </w:tcPr>
          <w:p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Output</w:t>
            </w:r>
          </w:p>
        </w:tc>
        <w:tc>
          <w:tcPr>
            <w:shd w:val="clear" w:color="auto" w:fill="1E6F8B"/>
          </w:tcPr>
          <w:p>
            <w:pPr>
              <w:numPr>
                <w:ilvl w:val="0"/>
                <w:numId w:val="0"/>
              </w:numPr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Format</w:t>
            </w:r>
          </w:p>
        </w:tc>
        <w:tc>
          <w:tcPr>
            <w:shd w:val="clear" w:color="auto" w:fill="1E6F8B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/>
                <w:color w:val="FFFFFF"/>
              </w:rPr>
              <w:t>Wave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Process maps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PDF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Constraint register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XLSX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Options appraisal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DOCX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</w:tr>
      <w:tr>
        <w:tblPrEx>
          <w:tblW w:w="5000" w:type="pct"/>
        </w:tblPrEx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Remediation roadmap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PDF</w:t>
            </w:r>
          </w:p>
        </w:tc>
        <w:tc>
          <w:tcPr>
            <w:shd w:val="clear" w:color="auto" w:fill="auto"/>
          </w:tcPr>
          <w:p>
            <w:pPr>
              <w:numPr>
                <w:ilvl w:val="0"/>
                <w:numId w:val="0"/>
              </w:numPr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</w:tr>
    </w:tbl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Marcus Oyelaran</Manager>
  <Company>Cascade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 - Aldergrove Manufacturing</dc:title>
  <dc:subject>Project Northlight scope appendix</dc:subject>
  <dc:creator>Dana Whitfield</dc:creator>
  <cp:keywords>statement of work, scope, appendix, deliverables</cp:keywords>
  <cp:lastModifiedBy>Dana Whitfield</cp:lastModifiedBy>
  <cp:revision>1</cp:revision>
  <cp:category>Client engagement</cp:category>
</cp:coreProperties>
</file>