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20pt;height:120pt;margin-top:100pt;margin-left:100pt;mso-position-horizontal-relative:page;mso-position-vertical-relative:page;position:absolute;z-index:251658240">
            <v:imagedata r:id="rId5" o:title=""/>
            <o:lock v:ext="edit" aspectratio="f"/>
          </v:shape>
        </w:pict>
      </w: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6"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cascadepartners.exampl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SIGN.INFO">
    <vt:lpwstr>{"HDR":"GD.SIGN.INFO","DAT":"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\u003d"}</vt:lpwstr>
  </property>
</Properties>
</file>