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 xml:space="preserve">This agreement records the terms under which Cascade Partners will deliver the engagement known internally as </w:t>
      </w:r>
      <w:r>
        <w:t>[REDACTED]</w:t>
      </w:r>
      <w:r>
        <w: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146"/>
        <w:gridCol w:w="2758"/>
        <w:gridCol w:w="3437"/>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 xml:space="preserve">Both parties will treat the existence and content of </w:t>
      </w:r>
      <w:r>
        <w:t>[REDACTED]</w:t>
      </w:r>
      <w:r>
        <w:t xml:space="preserve">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Marcus Oyelaran</Manager>
  <Company>Cascade Partners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Services Agreement - Aldergrove Manufacturing</dc:title>
  <dc:subject>Project Northlight engagement terms</dc:subject>
  <dc:creator>Dana Whitfield</dc:creator>
  <cp:keywords>contract, consulting, engagement, agreement</cp:keywords>
  <cp:lastModifiedBy>Dana Whitfield</cp:lastModifiedBy>
  <cp:revision>1</cp:revision>
  <cp:category>Client engagement</cp:category>
</cp:coreProperties>
</file>