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10.0 -->
  <w:body>
    <w:p w:rsidR="00A77B3E">
      <w:r>
        <w:drawing>
          <wp:inline>
            <wp:extent cx="25400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540000" cy="762000"/>
                    </a:xfrm>
                    <a:prstGeom prst="rect">
                      <a:avLst/>
                    </a:prstGeom>
                  </pic:spPr>
                </pic:pic>
              </a:graphicData>
            </a:graphic>
          </wp:inline>
        </w:drawing>
      </w:r>
    </w:p>
    <w:p w:rsidR="00A77B3E">
      <w:pPr>
        <w:pStyle w:val="Title"/>
        <w:jc w:val="center"/>
      </w:pPr>
      <w:bookmarkStart w:id="0" w:name="_Toc256000000"/>
      <w:r>
        <w:t>Annual Report 2025</w:t>
      </w:r>
      <w:bookmarkEnd w:id="0"/>
    </w:p>
    <w:p w:rsidR="00A77B3E">
      <w:pPr>
        <w:pStyle w:val="Subtitle"/>
        <w:jc w:val="center"/>
      </w:pPr>
      <w:bookmarkStart w:id="1" w:name="_Toc256000001"/>
      <w:r>
        <w:t>Meridian Outdoor Co.</w:t>
      </w:r>
      <w:bookmarkEnd w:id="1"/>
    </w:p>
    <w:p w:rsidR="00A77B3E">
      <w:pPr>
        <w:pStyle w:val="Heading1"/>
        <w:jc w:val="left"/>
      </w:pPr>
      <w:r>
        <w:br w:type="page"/>
      </w:r>
      <w:bookmarkStart w:id="2" w:name="_Toc256000002"/>
      <w:r>
        <w:t>Table of Contents</w:t>
      </w:r>
      <w:bookmarkEnd w:id="2"/>
    </w:p>
    <w:p>
      <w:pPr>
        <w:pStyle w:val="TOC1"/>
        <w:tabs>
          <w:tab w:val="right" w:leader="dot" w:pos="9350"/>
        </w:tabs>
        <w:rPr>
          <w:rFonts w:ascii="Calibri" w:hAnsi="Calibri"/>
          <w:noProof/>
          <w:sz w:val="22"/>
        </w:rPr>
      </w:pPr>
      <w:r w:rsidR="00A77B3E">
        <w:fldChar w:fldCharType="begin"/>
      </w:r>
      <w:r w:rsidR="00A77B3E">
        <w:instrText>TOC \o "1-4" \h \z \u</w:instrText>
      </w:r>
      <w:r w:rsidR="00A77B3E">
        <w:fldChar w:fldCharType="separate"/>
      </w:r>
      <w:hyperlink w:anchor="_Toc256000000" w:history="1">
        <w:r w:rsidR="00A77B3E">
          <w:rPr>
            <w:rStyle w:val="Hyperlink"/>
          </w:rPr>
          <w:t>Annual Report 2025</w:t>
        </w:r>
        <w:r>
          <w:tab/>
        </w:r>
        <w:r>
          <w:fldChar w:fldCharType="begin"/>
        </w:r>
        <w:r>
          <w:instrText xml:space="preserve"> PAGEREF _Toc256000000 \h </w:instrText>
        </w:r>
        <w:r>
          <w:fldChar w:fldCharType="separate"/>
        </w:r>
        <w:r>
          <w:t>1</w:t>
        </w:r>
        <w:r>
          <w:fldChar w:fldCharType="end"/>
        </w:r>
      </w:hyperlink>
    </w:p>
    <w:p>
      <w:pPr>
        <w:pStyle w:val="TOC2"/>
        <w:tabs>
          <w:tab w:val="right" w:leader="dot" w:pos="9350"/>
        </w:tabs>
        <w:rPr>
          <w:rFonts w:ascii="Calibri" w:hAnsi="Calibri"/>
          <w:noProof/>
          <w:sz w:val="22"/>
        </w:rPr>
      </w:pPr>
      <w:hyperlink w:anchor="_Toc256000001" w:history="1">
        <w:r w:rsidR="00A77B3E">
          <w:rPr>
            <w:rStyle w:val="Hyperlink"/>
          </w:rPr>
          <w:t>Meridian Outdoor Co.</w:t>
        </w:r>
        <w:r>
          <w:tab/>
        </w:r>
        <w:r>
          <w:fldChar w:fldCharType="begin"/>
        </w:r>
        <w:r>
          <w:instrText xml:space="preserve"> PAGEREF _Toc256000001 \h </w:instrText>
        </w:r>
        <w:r>
          <w:fldChar w:fldCharType="separate"/>
        </w:r>
        <w:r>
          <w:t>1</w:t>
        </w:r>
        <w:r>
          <w:fldChar w:fldCharType="end"/>
        </w:r>
      </w:hyperlink>
    </w:p>
    <w:p>
      <w:pPr>
        <w:pStyle w:val="TOC1"/>
        <w:tabs>
          <w:tab w:val="right" w:leader="dot" w:pos="9350"/>
        </w:tabs>
        <w:rPr>
          <w:rFonts w:ascii="Calibri" w:hAnsi="Calibri"/>
          <w:noProof/>
          <w:sz w:val="22"/>
        </w:rPr>
      </w:pPr>
      <w:hyperlink w:anchor="_Toc256000002" w:history="1">
        <w:r w:rsidR="00A77B3E">
          <w:rPr>
            <w:rStyle w:val="Hyperlink"/>
          </w:rPr>
          <w:t>Table of Contents</w:t>
        </w:r>
        <w:r>
          <w:tab/>
        </w:r>
        <w:r>
          <w:fldChar w:fldCharType="begin"/>
        </w:r>
        <w:r>
          <w:instrText xml:space="preserve"> PAGEREF _Toc256000002 \h </w:instrText>
        </w:r>
        <w:r>
          <w:fldChar w:fldCharType="separate"/>
        </w:r>
        <w:r>
          <w:t>2</w:t>
        </w:r>
        <w:r>
          <w:fldChar w:fldCharType="end"/>
        </w:r>
      </w:hyperlink>
    </w:p>
    <w:p>
      <w:pPr>
        <w:pStyle w:val="TOC1"/>
        <w:tabs>
          <w:tab w:val="right" w:leader="dot" w:pos="9350"/>
        </w:tabs>
        <w:rPr>
          <w:rFonts w:ascii="Calibri" w:hAnsi="Calibri"/>
          <w:noProof/>
          <w:sz w:val="22"/>
        </w:rPr>
      </w:pPr>
      <w:hyperlink w:anchor="_Toc256000003" w:history="1">
        <w:r w:rsidR="00A77B3E">
          <w:rPr>
            <w:rStyle w:val="Hyperlink"/>
          </w:rPr>
          <w:t>Letter from the CEO</w:t>
        </w:r>
        <w:r>
          <w:tab/>
        </w:r>
        <w:r>
          <w:fldChar w:fldCharType="begin"/>
        </w:r>
        <w:r>
          <w:instrText xml:space="preserve"> PAGEREF _Toc256000003 \h </w:instrText>
        </w:r>
        <w:r>
          <w:fldChar w:fldCharType="separate"/>
        </w:r>
        <w:r>
          <w:t>3</w:t>
        </w:r>
        <w:r>
          <w:fldChar w:fldCharType="end"/>
        </w:r>
      </w:hyperlink>
    </w:p>
    <w:p>
      <w:pPr>
        <w:pStyle w:val="TOC1"/>
        <w:tabs>
          <w:tab w:val="right" w:leader="dot" w:pos="9350"/>
        </w:tabs>
        <w:rPr>
          <w:rFonts w:ascii="Calibri" w:hAnsi="Calibri"/>
          <w:noProof/>
          <w:sz w:val="22"/>
        </w:rPr>
      </w:pPr>
      <w:hyperlink w:anchor="_Toc256000004" w:history="1">
        <w:r w:rsidR="00A77B3E">
          <w:rPr>
            <w:rStyle w:val="Hyperlink"/>
          </w:rPr>
          <w:t>Financial Highlights</w:t>
        </w:r>
        <w:r>
          <w:tab/>
        </w:r>
        <w:r>
          <w:fldChar w:fldCharType="begin"/>
        </w:r>
        <w:r>
          <w:instrText xml:space="preserve"> PAGEREF _Toc256000004 \h </w:instrText>
        </w:r>
        <w:r>
          <w:fldChar w:fldCharType="separate"/>
        </w:r>
        <w:r>
          <w:t>3</w:t>
        </w:r>
        <w:r>
          <w:fldChar w:fldCharType="end"/>
        </w:r>
      </w:hyperlink>
    </w:p>
    <w:p>
      <w:pPr>
        <w:pStyle w:val="TOC2"/>
        <w:tabs>
          <w:tab w:val="right" w:leader="dot" w:pos="9350"/>
        </w:tabs>
        <w:rPr>
          <w:rFonts w:ascii="Calibri" w:hAnsi="Calibri"/>
          <w:noProof/>
          <w:sz w:val="22"/>
        </w:rPr>
      </w:pPr>
      <w:hyperlink w:anchor="_Toc256000005" w:history="1">
        <w:r w:rsidR="00A77B3E">
          <w:rPr>
            <w:rStyle w:val="Hyperlink"/>
          </w:rPr>
          <w:t>Revenue</w:t>
        </w:r>
        <w:r>
          <w:tab/>
        </w:r>
        <w:r>
          <w:fldChar w:fldCharType="begin"/>
        </w:r>
        <w:r>
          <w:instrText xml:space="preserve"> PAGEREF _Toc256000005 \h </w:instrText>
        </w:r>
        <w:r>
          <w:fldChar w:fldCharType="separate"/>
        </w:r>
        <w:r>
          <w:t>3</w:t>
        </w:r>
        <w:r>
          <w:fldChar w:fldCharType="end"/>
        </w:r>
      </w:hyperlink>
    </w:p>
    <w:p>
      <w:pPr>
        <w:pStyle w:val="TOC3"/>
        <w:tabs>
          <w:tab w:val="right" w:leader="dot" w:pos="9350"/>
        </w:tabs>
        <w:rPr>
          <w:rFonts w:ascii="Calibri" w:hAnsi="Calibri"/>
          <w:noProof/>
          <w:sz w:val="22"/>
        </w:rPr>
      </w:pPr>
      <w:hyperlink w:anchor="_Toc256000006" w:history="1">
        <w:r w:rsidR="00A77B3E">
          <w:rPr>
            <w:rStyle w:val="Hyperlink"/>
          </w:rPr>
          <w:t>By Segment</w:t>
        </w:r>
        <w:r>
          <w:tab/>
        </w:r>
        <w:r>
          <w:fldChar w:fldCharType="begin"/>
        </w:r>
        <w:r>
          <w:instrText xml:space="preserve"> PAGEREF _Toc256000006 \h </w:instrText>
        </w:r>
        <w:r>
          <w:fldChar w:fldCharType="separate"/>
        </w:r>
        <w:r>
          <w:t>3</w:t>
        </w:r>
        <w:r>
          <w:fldChar w:fldCharType="end"/>
        </w:r>
      </w:hyperlink>
    </w:p>
    <w:p>
      <w:pPr>
        <w:pStyle w:val="TOC4"/>
        <w:tabs>
          <w:tab w:val="right" w:leader="dot" w:pos="9350"/>
        </w:tabs>
        <w:rPr>
          <w:rFonts w:ascii="Calibri" w:hAnsi="Calibri"/>
          <w:noProof/>
          <w:sz w:val="22"/>
        </w:rPr>
      </w:pPr>
      <w:hyperlink w:anchor="_Toc256000007" w:history="1">
        <w:r w:rsidR="00A77B3E">
          <w:rPr>
            <w:rStyle w:val="Hyperlink"/>
          </w:rPr>
          <w:t>Apparel</w:t>
        </w:r>
        <w:r>
          <w:tab/>
        </w:r>
        <w:r>
          <w:fldChar w:fldCharType="begin"/>
        </w:r>
        <w:r>
          <w:instrText xml:space="preserve"> PAGEREF _Toc256000007 \h </w:instrText>
        </w:r>
        <w:r>
          <w:fldChar w:fldCharType="separate"/>
        </w:r>
        <w:r>
          <w:t>3</w:t>
        </w:r>
        <w:r>
          <w:fldChar w:fldCharType="end"/>
        </w:r>
      </w:hyperlink>
    </w:p>
    <w:p>
      <w:pPr>
        <w:pStyle w:val="TOC4"/>
        <w:tabs>
          <w:tab w:val="right" w:leader="dot" w:pos="9350"/>
        </w:tabs>
        <w:rPr>
          <w:rFonts w:ascii="Calibri" w:hAnsi="Calibri"/>
          <w:noProof/>
          <w:sz w:val="22"/>
        </w:rPr>
      </w:pPr>
      <w:hyperlink w:anchor="_Toc256000008" w:history="1">
        <w:r w:rsidR="00A77B3E">
          <w:rPr>
            <w:rStyle w:val="Hyperlink"/>
          </w:rPr>
          <w:t>Footwear</w:t>
        </w:r>
        <w:r>
          <w:tab/>
        </w:r>
        <w:r>
          <w:fldChar w:fldCharType="begin"/>
        </w:r>
        <w:r>
          <w:instrText xml:space="preserve"> PAGEREF _Toc256000008 \h </w:instrText>
        </w:r>
        <w:r>
          <w:fldChar w:fldCharType="separate"/>
        </w:r>
        <w:r>
          <w:t>3</w:t>
        </w:r>
        <w:r>
          <w:fldChar w:fldCharType="end"/>
        </w:r>
      </w:hyperlink>
    </w:p>
    <w:p>
      <w:pPr>
        <w:pStyle w:val="TOC4"/>
        <w:tabs>
          <w:tab w:val="right" w:leader="dot" w:pos="9350"/>
        </w:tabs>
        <w:rPr>
          <w:rFonts w:ascii="Calibri" w:hAnsi="Calibri"/>
          <w:noProof/>
          <w:sz w:val="22"/>
        </w:rPr>
      </w:pPr>
      <w:hyperlink w:anchor="_Toc256000009" w:history="1">
        <w:r w:rsidR="00A77B3E">
          <w:rPr>
            <w:rStyle w:val="Hyperlink"/>
          </w:rPr>
          <w:t>Camping</w:t>
        </w:r>
        <w:r>
          <w:tab/>
        </w:r>
        <w:r>
          <w:fldChar w:fldCharType="begin"/>
        </w:r>
        <w:r>
          <w:instrText xml:space="preserve"> PAGEREF _Toc256000009 \h </w:instrText>
        </w:r>
        <w:r>
          <w:fldChar w:fldCharType="separate"/>
        </w:r>
        <w:r>
          <w:t>3</w:t>
        </w:r>
        <w:r>
          <w:fldChar w:fldCharType="end"/>
        </w:r>
      </w:hyperlink>
    </w:p>
    <w:p>
      <w:pPr>
        <w:pStyle w:val="TOC4"/>
        <w:tabs>
          <w:tab w:val="right" w:leader="dot" w:pos="9350"/>
        </w:tabs>
        <w:rPr>
          <w:rFonts w:ascii="Calibri" w:hAnsi="Calibri"/>
          <w:noProof/>
          <w:sz w:val="22"/>
        </w:rPr>
      </w:pPr>
      <w:hyperlink w:anchor="_Toc256000010" w:history="1">
        <w:r w:rsidR="00A77B3E">
          <w:rPr>
            <w:rStyle w:val="Hyperlink"/>
          </w:rPr>
          <w:t>Accessories</w:t>
        </w:r>
        <w:r>
          <w:tab/>
        </w:r>
        <w:r>
          <w:fldChar w:fldCharType="begin"/>
        </w:r>
        <w:r>
          <w:instrText xml:space="preserve"> PAGEREF _Toc256000010 \h </w:instrText>
        </w:r>
        <w:r>
          <w:fldChar w:fldCharType="separate"/>
        </w:r>
        <w:r>
          <w:t>3</w:t>
        </w:r>
        <w:r>
          <w:fldChar w:fldCharType="end"/>
        </w:r>
      </w:hyperlink>
    </w:p>
    <w:p>
      <w:pPr>
        <w:pStyle w:val="TOC3"/>
        <w:tabs>
          <w:tab w:val="right" w:leader="dot" w:pos="9350"/>
        </w:tabs>
        <w:rPr>
          <w:rFonts w:ascii="Calibri" w:hAnsi="Calibri"/>
          <w:noProof/>
          <w:sz w:val="22"/>
        </w:rPr>
      </w:pPr>
      <w:hyperlink w:anchor="_Toc256000011" w:history="1">
        <w:r w:rsidR="00A77B3E">
          <w:rPr>
            <w:rStyle w:val="Hyperlink"/>
          </w:rPr>
          <w:t>Year-over-Year Trend</w:t>
        </w:r>
        <w:r>
          <w:tab/>
        </w:r>
        <w:r>
          <w:fldChar w:fldCharType="begin"/>
        </w:r>
        <w:r>
          <w:instrText xml:space="preserve"> PAGEREF _Toc256000011 \h </w:instrText>
        </w:r>
        <w:r>
          <w:fldChar w:fldCharType="separate"/>
        </w:r>
        <w:r>
          <w:t>3</w:t>
        </w:r>
        <w:r>
          <w:fldChar w:fldCharType="end"/>
        </w:r>
      </w:hyperlink>
    </w:p>
    <w:p>
      <w:pPr>
        <w:pStyle w:val="TOC2"/>
        <w:tabs>
          <w:tab w:val="right" w:leader="dot" w:pos="9350"/>
        </w:tabs>
        <w:rPr>
          <w:rFonts w:ascii="Calibri" w:hAnsi="Calibri"/>
          <w:noProof/>
          <w:sz w:val="22"/>
        </w:rPr>
      </w:pPr>
      <w:hyperlink w:anchor="_Toc256000012" w:history="1">
        <w:r w:rsidR="00A77B3E">
          <w:rPr>
            <w:rStyle w:val="Hyperlink"/>
          </w:rPr>
          <w:t>Operating Expenses</w:t>
        </w:r>
        <w:r>
          <w:tab/>
        </w:r>
        <w:r>
          <w:fldChar w:fldCharType="begin"/>
        </w:r>
        <w:r>
          <w:instrText xml:space="preserve"> PAGEREF _Toc256000012 \h </w:instrText>
        </w:r>
        <w:r>
          <w:fldChar w:fldCharType="separate"/>
        </w:r>
        <w:r>
          <w:t>4</w:t>
        </w:r>
        <w:r>
          <w:fldChar w:fldCharType="end"/>
        </w:r>
      </w:hyperlink>
    </w:p>
    <w:p>
      <w:pPr>
        <w:pStyle w:val="TOC1"/>
        <w:tabs>
          <w:tab w:val="right" w:leader="dot" w:pos="9350"/>
        </w:tabs>
        <w:rPr>
          <w:rFonts w:ascii="Calibri" w:hAnsi="Calibri"/>
          <w:noProof/>
          <w:sz w:val="22"/>
        </w:rPr>
      </w:pPr>
      <w:hyperlink w:anchor="_Toc256000013" w:history="1">
        <w:r w:rsidR="00A77B3E">
          <w:rPr>
            <w:rStyle w:val="Hyperlink"/>
          </w:rPr>
          <w:t>Operations Review</w:t>
        </w:r>
        <w:r>
          <w:tab/>
        </w:r>
        <w:r>
          <w:fldChar w:fldCharType="begin"/>
        </w:r>
        <w:r>
          <w:instrText xml:space="preserve"> PAGEREF _Toc256000013 \h </w:instrText>
        </w:r>
        <w:r>
          <w:fldChar w:fldCharType="separate"/>
        </w:r>
        <w:r>
          <w:t>4</w:t>
        </w:r>
        <w:r>
          <w:fldChar w:fldCharType="end"/>
        </w:r>
      </w:hyperlink>
    </w:p>
    <w:p>
      <w:pPr>
        <w:pStyle w:val="TOC2"/>
        <w:tabs>
          <w:tab w:val="right" w:leader="dot" w:pos="9350"/>
        </w:tabs>
        <w:rPr>
          <w:rFonts w:ascii="Calibri" w:hAnsi="Calibri"/>
          <w:noProof/>
          <w:sz w:val="22"/>
        </w:rPr>
      </w:pPr>
      <w:hyperlink w:anchor="_Toc256000014" w:history="1">
        <w:r w:rsidR="00A77B3E">
          <w:rPr>
            <w:rStyle w:val="Hyperlink"/>
          </w:rPr>
          <w:t>Supply Chain</w:t>
        </w:r>
        <w:r>
          <w:tab/>
        </w:r>
        <w:r>
          <w:fldChar w:fldCharType="begin"/>
        </w:r>
        <w:r>
          <w:instrText xml:space="preserve"> PAGEREF _Toc256000014 \h </w:instrText>
        </w:r>
        <w:r>
          <w:fldChar w:fldCharType="separate"/>
        </w:r>
        <w:r>
          <w:t>4</w:t>
        </w:r>
        <w:r>
          <w:fldChar w:fldCharType="end"/>
        </w:r>
      </w:hyperlink>
    </w:p>
    <w:p>
      <w:pPr>
        <w:pStyle w:val="TOC3"/>
        <w:tabs>
          <w:tab w:val="right" w:leader="dot" w:pos="9350"/>
        </w:tabs>
        <w:rPr>
          <w:rFonts w:ascii="Calibri" w:hAnsi="Calibri"/>
          <w:noProof/>
          <w:sz w:val="22"/>
        </w:rPr>
      </w:pPr>
      <w:hyperlink w:anchor="_Toc256000015" w:history="1">
        <w:r w:rsidR="00A77B3E">
          <w:rPr>
            <w:rStyle w:val="Hyperlink"/>
          </w:rPr>
          <w:t>Sourcing</w:t>
        </w:r>
        <w:r>
          <w:tab/>
        </w:r>
        <w:r>
          <w:fldChar w:fldCharType="begin"/>
        </w:r>
        <w:r>
          <w:instrText xml:space="preserve"> PAGEREF _Toc256000015 \h </w:instrText>
        </w:r>
        <w:r>
          <w:fldChar w:fldCharType="separate"/>
        </w:r>
        <w:r>
          <w:t>4</w:t>
        </w:r>
        <w:r>
          <w:fldChar w:fldCharType="end"/>
        </w:r>
      </w:hyperlink>
    </w:p>
    <w:p>
      <w:pPr>
        <w:pStyle w:val="TOC3"/>
        <w:tabs>
          <w:tab w:val="right" w:leader="dot" w:pos="9350"/>
        </w:tabs>
        <w:rPr>
          <w:rFonts w:ascii="Calibri" w:hAnsi="Calibri"/>
          <w:noProof/>
          <w:sz w:val="22"/>
        </w:rPr>
      </w:pPr>
      <w:hyperlink w:anchor="_Toc256000016" w:history="1">
        <w:r w:rsidR="00A77B3E">
          <w:rPr>
            <w:rStyle w:val="Hyperlink"/>
          </w:rPr>
          <w:t>Manufacturing</w:t>
        </w:r>
        <w:r>
          <w:tab/>
        </w:r>
        <w:r>
          <w:fldChar w:fldCharType="begin"/>
        </w:r>
        <w:r>
          <w:instrText xml:space="preserve"> PAGEREF _Toc256000016 \h </w:instrText>
        </w:r>
        <w:r>
          <w:fldChar w:fldCharType="separate"/>
        </w:r>
        <w:r>
          <w:t>4</w:t>
        </w:r>
        <w:r>
          <w:fldChar w:fldCharType="end"/>
        </w:r>
      </w:hyperlink>
    </w:p>
    <w:p>
      <w:pPr>
        <w:pStyle w:val="TOC2"/>
        <w:tabs>
          <w:tab w:val="right" w:leader="dot" w:pos="9350"/>
        </w:tabs>
        <w:rPr>
          <w:rFonts w:ascii="Calibri" w:hAnsi="Calibri"/>
          <w:noProof/>
          <w:sz w:val="22"/>
        </w:rPr>
      </w:pPr>
      <w:hyperlink w:anchor="_Toc256000017" w:history="1">
        <w:r w:rsidR="00A77B3E">
          <w:rPr>
            <w:rStyle w:val="Hyperlink"/>
          </w:rPr>
          <w:t>Warehousing</w:t>
        </w:r>
        <w:r>
          <w:tab/>
        </w:r>
        <w:r>
          <w:fldChar w:fldCharType="begin"/>
        </w:r>
        <w:r>
          <w:instrText xml:space="preserve"> PAGEREF _Toc256000017 \h </w:instrText>
        </w:r>
        <w:r>
          <w:fldChar w:fldCharType="separate"/>
        </w:r>
        <w:r>
          <w:t>4</w:t>
        </w:r>
        <w:r>
          <w:fldChar w:fldCharType="end"/>
        </w:r>
      </w:hyperlink>
    </w:p>
    <w:p>
      <w:pPr>
        <w:pStyle w:val="TOC1"/>
        <w:tabs>
          <w:tab w:val="right" w:leader="dot" w:pos="9350"/>
        </w:tabs>
        <w:rPr>
          <w:rFonts w:ascii="Calibri" w:hAnsi="Calibri"/>
          <w:noProof/>
          <w:sz w:val="22"/>
        </w:rPr>
      </w:pPr>
      <w:hyperlink w:anchor="_Toc256000018" w:history="1">
        <w:r w:rsidR="00A77B3E">
          <w:rPr>
            <w:rStyle w:val="Hyperlink"/>
          </w:rPr>
          <w:t>Sustainability Report</w:t>
        </w:r>
        <w:r>
          <w:tab/>
        </w:r>
        <w:r>
          <w:fldChar w:fldCharType="begin"/>
        </w:r>
        <w:r>
          <w:instrText xml:space="preserve"> PAGEREF _Toc256000018 \h </w:instrText>
        </w:r>
        <w:r>
          <w:fldChar w:fldCharType="separate"/>
        </w:r>
        <w:r>
          <w:t>5</w:t>
        </w:r>
        <w:r>
          <w:fldChar w:fldCharType="end"/>
        </w:r>
      </w:hyperlink>
    </w:p>
    <w:p>
      <w:pPr>
        <w:pStyle w:val="TOC2"/>
        <w:tabs>
          <w:tab w:val="right" w:leader="dot" w:pos="9350"/>
        </w:tabs>
        <w:rPr>
          <w:rFonts w:ascii="Calibri" w:hAnsi="Calibri"/>
          <w:noProof/>
          <w:sz w:val="22"/>
        </w:rPr>
      </w:pPr>
      <w:hyperlink w:anchor="_Toc256000019" w:history="1">
        <w:r w:rsidR="00A77B3E">
          <w:rPr>
            <w:rStyle w:val="Hyperlink"/>
          </w:rPr>
          <w:t>Materials</w:t>
        </w:r>
        <w:r>
          <w:tab/>
        </w:r>
        <w:r>
          <w:fldChar w:fldCharType="begin"/>
        </w:r>
        <w:r>
          <w:instrText xml:space="preserve"> PAGEREF _Toc256000019 \h </w:instrText>
        </w:r>
        <w:r>
          <w:fldChar w:fldCharType="separate"/>
        </w:r>
        <w:r>
          <w:t>5</w:t>
        </w:r>
        <w:r>
          <w:fldChar w:fldCharType="end"/>
        </w:r>
      </w:hyperlink>
    </w:p>
    <w:p>
      <w:pPr>
        <w:pStyle w:val="TOC2"/>
        <w:tabs>
          <w:tab w:val="right" w:leader="dot" w:pos="9350"/>
        </w:tabs>
        <w:rPr>
          <w:rFonts w:ascii="Calibri" w:hAnsi="Calibri"/>
          <w:noProof/>
          <w:sz w:val="22"/>
        </w:rPr>
      </w:pPr>
      <w:hyperlink w:anchor="_Toc256000020" w:history="1">
        <w:r w:rsidR="00A77B3E">
          <w:rPr>
            <w:rStyle w:val="Hyperlink"/>
          </w:rPr>
          <w:t>Energy</w:t>
        </w:r>
        <w:r>
          <w:tab/>
        </w:r>
        <w:r>
          <w:fldChar w:fldCharType="begin"/>
        </w:r>
        <w:r>
          <w:instrText xml:space="preserve"> PAGEREF _Toc256000020 \h </w:instrText>
        </w:r>
        <w:r>
          <w:fldChar w:fldCharType="separate"/>
        </w:r>
        <w:r>
          <w:t>5</w:t>
        </w:r>
        <w:r>
          <w:fldChar w:fldCharType="end"/>
        </w:r>
      </w:hyperlink>
    </w:p>
    <w:p>
      <w:pPr>
        <w:pStyle w:val="TOC2"/>
        <w:tabs>
          <w:tab w:val="right" w:leader="dot" w:pos="9350"/>
        </w:tabs>
        <w:rPr>
          <w:rFonts w:ascii="Calibri" w:hAnsi="Calibri"/>
          <w:noProof/>
          <w:sz w:val="22"/>
        </w:rPr>
      </w:pPr>
      <w:hyperlink w:anchor="_Toc256000021" w:history="1">
        <w:r w:rsidR="00A77B3E">
          <w:rPr>
            <w:rStyle w:val="Hyperlink"/>
          </w:rPr>
          <w:t>Segment Mix</w:t>
        </w:r>
        <w:r>
          <w:tab/>
        </w:r>
        <w:r>
          <w:fldChar w:fldCharType="begin"/>
        </w:r>
        <w:r>
          <w:instrText xml:space="preserve"> PAGEREF _Toc256000021 \h </w:instrText>
        </w:r>
        <w:r>
          <w:fldChar w:fldCharType="separate"/>
        </w:r>
        <w:r>
          <w:t>5</w:t>
        </w:r>
        <w:r>
          <w:fldChar w:fldCharType="end"/>
        </w:r>
      </w:hyperlink>
    </w:p>
    <w:p>
      <w:pPr>
        <w:pStyle w:val="TOC1"/>
        <w:tabs>
          <w:tab w:val="right" w:leader="dot" w:pos="9350"/>
        </w:tabs>
        <w:rPr>
          <w:rFonts w:ascii="Calibri" w:hAnsi="Calibri"/>
          <w:noProof/>
          <w:sz w:val="22"/>
        </w:rPr>
      </w:pPr>
      <w:hyperlink w:anchor="_Toc256000022" w:history="1">
        <w:r w:rsidR="00A77B3E">
          <w:rPr>
            <w:rStyle w:val="Hyperlink"/>
          </w:rPr>
          <w:t>Governance</w:t>
        </w:r>
        <w:r>
          <w:tab/>
        </w:r>
        <w:r>
          <w:fldChar w:fldCharType="begin"/>
        </w:r>
        <w:r>
          <w:instrText xml:space="preserve"> PAGEREF _Toc256000022 \h </w:instrText>
        </w:r>
        <w:r>
          <w:fldChar w:fldCharType="separate"/>
        </w:r>
        <w:r>
          <w:t>5</w:t>
        </w:r>
        <w:r>
          <w:fldChar w:fldCharType="end"/>
        </w:r>
      </w:hyperlink>
    </w:p>
    <w:p>
      <w:pPr>
        <w:pStyle w:val="TOC1"/>
        <w:tabs>
          <w:tab w:val="right" w:leader="dot" w:pos="9350"/>
        </w:tabs>
        <w:rPr>
          <w:rFonts w:ascii="Calibri" w:hAnsi="Calibri"/>
          <w:noProof/>
          <w:sz w:val="22"/>
        </w:rPr>
      </w:pPr>
      <w:hyperlink w:anchor="_Toc256000023" w:history="1">
        <w:r w:rsidR="00A77B3E">
          <w:rPr>
            <w:rStyle w:val="Hyperlink"/>
          </w:rPr>
          <w:t>Financial Statements</w:t>
        </w:r>
        <w:r>
          <w:tab/>
        </w:r>
        <w:r>
          <w:fldChar w:fldCharType="begin"/>
        </w:r>
        <w:r>
          <w:instrText xml:space="preserve"> PAGEREF _Toc256000023 \h </w:instrText>
        </w:r>
        <w:r>
          <w:fldChar w:fldCharType="separate"/>
        </w:r>
        <w:r>
          <w:t>5</w:t>
        </w:r>
        <w:r>
          <w:fldChar w:fldCharType="end"/>
        </w:r>
      </w:hyperlink>
    </w:p>
    <w:p>
      <w:pPr>
        <w:pStyle w:val="TOC2"/>
        <w:tabs>
          <w:tab w:val="right" w:leader="dot" w:pos="9350"/>
        </w:tabs>
        <w:rPr>
          <w:rFonts w:ascii="Calibri" w:hAnsi="Calibri"/>
          <w:noProof/>
          <w:sz w:val="22"/>
        </w:rPr>
      </w:pPr>
      <w:hyperlink w:anchor="_Toc256000024" w:history="1">
        <w:r w:rsidR="00A77B3E">
          <w:rPr>
            <w:rStyle w:val="Hyperlink"/>
          </w:rPr>
          <w:t>Income Statement</w:t>
        </w:r>
        <w:r>
          <w:tab/>
        </w:r>
        <w:r>
          <w:fldChar w:fldCharType="begin"/>
        </w:r>
        <w:r>
          <w:instrText xml:space="preserve"> PAGEREF _Toc256000024 \h </w:instrText>
        </w:r>
        <w:r>
          <w:fldChar w:fldCharType="separate"/>
        </w:r>
        <w:r>
          <w:t>5</w:t>
        </w:r>
        <w:r>
          <w:fldChar w:fldCharType="end"/>
        </w:r>
      </w:hyperlink>
    </w:p>
    <w:p>
      <w:pPr>
        <w:pStyle w:val="TOC2"/>
        <w:tabs>
          <w:tab w:val="right" w:leader="dot" w:pos="9350"/>
        </w:tabs>
        <w:rPr>
          <w:rFonts w:ascii="Calibri" w:hAnsi="Calibri"/>
          <w:noProof/>
          <w:sz w:val="22"/>
        </w:rPr>
      </w:pPr>
      <w:hyperlink w:anchor="_Toc256000025" w:history="1">
        <w:r w:rsidR="00A77B3E">
          <w:rPr>
            <w:rStyle w:val="Hyperlink"/>
          </w:rPr>
          <w:t>Balance Sheet</w:t>
        </w:r>
        <w:r>
          <w:tab/>
        </w:r>
        <w:r>
          <w:fldChar w:fldCharType="begin"/>
        </w:r>
        <w:r>
          <w:instrText xml:space="preserve"> PAGEREF _Toc256000025 \h </w:instrText>
        </w:r>
        <w:r>
          <w:fldChar w:fldCharType="separate"/>
        </w:r>
        <w:r>
          <w:t>6</w:t>
        </w:r>
        <w:r>
          <w:fldChar w:fldCharType="end"/>
        </w:r>
      </w:hyperlink>
    </w:p>
    <w:p>
      <w:pPr>
        <w:pStyle w:val="TOC2"/>
        <w:tabs>
          <w:tab w:val="right" w:leader="dot" w:pos="9350"/>
        </w:tabs>
        <w:rPr>
          <w:rFonts w:ascii="Calibri" w:hAnsi="Calibri"/>
          <w:noProof/>
          <w:sz w:val="22"/>
        </w:rPr>
      </w:pPr>
      <w:hyperlink w:anchor="_Toc256000026" w:history="1">
        <w:r w:rsidR="00A77B3E">
          <w:rPr>
            <w:rStyle w:val="Hyperlink"/>
          </w:rPr>
          <w:t>Cash Flow</w:t>
        </w:r>
        <w:r>
          <w:tab/>
        </w:r>
        <w:r>
          <w:fldChar w:fldCharType="begin"/>
        </w:r>
        <w:r>
          <w:instrText xml:space="preserve"> PAGEREF _Toc256000026 \h </w:instrText>
        </w:r>
        <w:r>
          <w:fldChar w:fldCharType="separate"/>
        </w:r>
        <w:r>
          <w:t>6</w:t>
        </w:r>
        <w:r>
          <w:fldChar w:fldCharType="end"/>
        </w:r>
      </w:hyperlink>
    </w:p>
    <w:p w:rsidR="00A77B3E">
      <w:pPr>
        <w:pStyle w:val="Heading1"/>
        <w:jc w:val="left"/>
      </w:pPr>
      <w:r>
        <w:fldChar w:fldCharType="end"/>
      </w:r>
      <w:r>
        <w:br w:type="page"/>
      </w:r>
      <w:bookmarkStart w:id="3" w:name="_Toc256000003"/>
      <w:r>
        <w:t>Letter from the CEO</w:t>
      </w:r>
      <w:bookmarkEnd w:id="3"/>
    </w:p>
    <w:p w:rsidR="00A77B3E">
      <w:pPr>
        <w:jc w:val="left"/>
      </w:pPr>
      <w:r>
        <w:t>Fiscal year 2025 was a year of disciplined growth and measurable impact. We grew revenue to $8.7M, opened our flagship store in Portland, and began the sustainability audit that will culminate in certification during FY2026. Alongside these wins, we made the hard calls needed to position the business for the next stage: consolidating suppliers, rewriting our warranty program, and investing in a field-repair capability that most of our peers do not yet offer.</w:t>
      </w:r>
    </w:p>
    <w:p w:rsidR="00A77B3E">
      <w:pPr>
        <w:jc w:val="left"/>
      </w:pPr>
      <w:r>
        <w:t>The pages that follow lay out what we built, what we learned, and where we are headed. Thank you for being part of the journey.</w:t>
      </w:r>
    </w:p>
    <w:p w:rsidR="00A77B3E">
      <w:pPr>
        <w:jc w:val="left"/>
      </w:pPr>
      <w:r>
        <w:t>— Elena Márquez, Chief Executive Officer</w:t>
      </w:r>
    </w:p>
    <w:p w:rsidR="00A77B3E">
      <w:pPr>
        <w:pStyle w:val="Heading1"/>
        <w:jc w:val="left"/>
      </w:pPr>
      <w:bookmarkStart w:id="4" w:name="_Toc256000004"/>
      <w:r>
        <w:t>Financial Highlights</w:t>
      </w:r>
      <w:bookmarkEnd w:id="4"/>
    </w:p>
    <w:p w:rsidR="00A77B3E">
      <w:pPr>
        <w:pStyle w:val="Heading2"/>
        <w:jc w:val="left"/>
      </w:pPr>
      <w:bookmarkStart w:id="5" w:name="_Toc256000005"/>
      <w:r>
        <w:t>Revenue</w:t>
      </w:r>
      <w:bookmarkEnd w:id="5"/>
    </w:p>
    <w:p w:rsidR="00A77B3E">
      <w:pPr>
        <w:jc w:val="left"/>
      </w:pPr>
      <w:r>
        <w:t>Total FY2025 revenue reached $8.7M, representing forty-five percent year-over-year growth. All four product segments contributed to growth, with apparel and footwear leading the mix.</w:t>
      </w:r>
    </w:p>
    <w:p w:rsidR="00A77B3E">
      <w:pPr>
        <w:pStyle w:val="Heading3"/>
        <w:jc w:val="left"/>
      </w:pPr>
      <w:bookmarkStart w:id="6" w:name="_Toc256000006"/>
      <w:r>
        <w:t>By Segment</w:t>
      </w:r>
      <w:bookmarkEnd w:id="6"/>
    </w:p>
    <w:p w:rsidR="00A77B3E">
      <w:pPr>
        <w:pStyle w:val="Heading4"/>
        <w:jc w:val="left"/>
      </w:pPr>
      <w:bookmarkStart w:id="7" w:name="_Toc256000007"/>
      <w:r>
        <w:t>Apparel</w:t>
      </w:r>
      <w:bookmarkEnd w:id="7"/>
    </w:p>
    <w:p w:rsidR="00A77B3E">
      <w:pPr>
        <w:jc w:val="left"/>
      </w:pPr>
      <w:r>
        <w:t>The apparel segment contributed $3.5M in FY2025 revenue, up forty-two percent year-over-year, driven by the Canyon Pant relaunch and the introduction of the Ridge Merino base layer.</w:t>
      </w:r>
    </w:p>
    <w:p w:rsidR="00A77B3E">
      <w:pPr>
        <w:pStyle w:val="Heading4"/>
        <w:jc w:val="left"/>
      </w:pPr>
      <w:bookmarkStart w:id="8" w:name="_Toc256000008"/>
      <w:r>
        <w:t>Footwear</w:t>
      </w:r>
      <w:bookmarkEnd w:id="8"/>
    </w:p>
    <w:p w:rsidR="00A77B3E">
      <w:pPr>
        <w:jc w:val="left"/>
      </w:pPr>
      <w:r>
        <w:t>The Trailhead Boot became our top-selling SKU in Q3, contributing $2.2M for the segment. Initial customer research suggests the repair program is driving repeat purchase.</w:t>
      </w:r>
    </w:p>
    <w:p w:rsidR="00A77B3E">
      <w:pPr>
        <w:pStyle w:val="Heading4"/>
        <w:jc w:val="left"/>
      </w:pPr>
      <w:bookmarkStart w:id="9" w:name="_Toc256000009"/>
      <w:r>
        <w:t>Camping</w:t>
      </w:r>
      <w:bookmarkEnd w:id="9"/>
    </w:p>
    <w:p w:rsidR="00A77B3E">
      <w:pPr>
        <w:jc w:val="left"/>
      </w:pPr>
      <w:r>
        <w:t>Camping gear posted $1.7M in revenue with expanding tent and cook-kit lines. The Coalfire Kit exceeded its launch plan by eighteen percent.</w:t>
      </w:r>
    </w:p>
    <w:p w:rsidR="00A77B3E">
      <w:pPr>
        <w:pStyle w:val="Heading4"/>
        <w:jc w:val="left"/>
      </w:pPr>
      <w:bookmarkStart w:id="10" w:name="_Toc256000010"/>
      <w:r>
        <w:t>Accessories</w:t>
      </w:r>
      <w:bookmarkEnd w:id="10"/>
    </w:p>
    <w:p w:rsidR="00A77B3E">
      <w:pPr>
        <w:jc w:val="left"/>
      </w:pPr>
      <w:r>
        <w:t>Accessories closed the year at $1.3M, driven by repair-kit bundles and the new line of trail-maintenance tools for professional guides.</w:t>
      </w:r>
    </w:p>
    <w:p w:rsidR="00A77B3E">
      <w:pPr>
        <w:pStyle w:val="Heading3"/>
        <w:jc w:val="left"/>
      </w:pPr>
      <w:bookmarkStart w:id="11" w:name="_Toc256000011"/>
      <w:r>
        <w:t>Year-over-Year Trend</w:t>
      </w:r>
      <w:bookmarkEnd w:id="11"/>
    </w:p>
    <w:p w:rsidR="00A77B3E">
      <w:pPr>
        <w:jc w:val="left"/>
      </w:pPr>
      <w:r>
        <w:t>The following chart shows quarterly revenue across the past three fiscal years. Q4 seasonality remains consistent with prior years, though Q2 growth reflects the earlier-than-usual launch of the spring apparel line.</w:t>
      </w:r>
    </w:p>
    <w:p w:rsidR="00A77B3E">
      <w:pPr>
        <w:jc w:val="left"/>
      </w:pPr>
      <w:r>
        <w:drawing>
          <wp:inline>
            <wp:extent cx="5334000" cy="31750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5334000" cy="3175000"/>
                    </a:xfrm>
                    <a:prstGeom prst="rect">
                      <a:avLst/>
                    </a:prstGeom>
                  </pic:spPr>
                </pic:pic>
              </a:graphicData>
            </a:graphic>
          </wp:inline>
        </w:drawing>
      </w:r>
    </w:p>
    <w:p w:rsidR="00A77B3E">
      <w:pPr>
        <w:pStyle w:val="Heading2"/>
        <w:jc w:val="left"/>
      </w:pPr>
      <w:bookmarkStart w:id="12" w:name="_Toc256000012"/>
      <w:r>
        <w:t>Operating Expenses</w:t>
      </w:r>
      <w:bookmarkEnd w:id="12"/>
    </w:p>
    <w:p w:rsidR="00A77B3E">
      <w:pPr>
        <w:jc w:val="left"/>
      </w:pPr>
      <w:r>
        <w:t>Operating expenses grew modestly relative to revenue, reflecting disciplined hiring and a renegotiated logistics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816"/>
        <w:gridCol w:w="1928"/>
        <w:gridCol w:w="1928"/>
        <w:gridCol w:w="1904"/>
      </w:tblGrid>
      <w:tr>
        <w:tblPrEx>
          <w:tblW w:w="5000" w:type="pct"/>
        </w:tblPrEx>
        <w:tc>
          <w:tcPr>
            <w:shd w:val="clear" w:color="auto" w:fill="2F6E4F"/>
          </w:tcPr>
          <w:p w:rsidR="00A77B3E">
            <w:pPr>
              <w:jc w:val="left"/>
              <w:rPr>
                <w:b/>
                <w:color w:val="FFFFFF"/>
              </w:rPr>
            </w:pPr>
            <w:r>
              <w:rPr>
                <w:b/>
                <w:color w:val="FFFFFF"/>
              </w:rPr>
              <w:t>Category</w:t>
            </w:r>
          </w:p>
        </w:tc>
        <w:tc>
          <w:tcPr>
            <w:shd w:val="clear" w:color="auto" w:fill="2F6E4F"/>
          </w:tcPr>
          <w:p w:rsidR="00A77B3E">
            <w:pPr>
              <w:jc w:val="left"/>
              <w:rPr>
                <w:b/>
                <w:color w:val="FFFFFF"/>
              </w:rPr>
            </w:pPr>
            <w:r>
              <w:rPr>
                <w:b/>
                <w:color w:val="FFFFFF"/>
              </w:rPr>
              <w:t>FY2024</w:t>
            </w:r>
          </w:p>
        </w:tc>
        <w:tc>
          <w:tcPr>
            <w:shd w:val="clear" w:color="auto" w:fill="2F6E4F"/>
          </w:tcPr>
          <w:p w:rsidR="00A77B3E">
            <w:pPr>
              <w:jc w:val="left"/>
              <w:rPr>
                <w:b/>
                <w:color w:val="FFFFFF"/>
              </w:rPr>
            </w:pPr>
            <w:r>
              <w:rPr>
                <w:b/>
                <w:color w:val="FFFFFF"/>
              </w:rPr>
              <w:t>FY2025</w:t>
            </w:r>
          </w:p>
        </w:tc>
        <w:tc>
          <w:tcPr>
            <w:shd w:val="clear" w:color="auto" w:fill="2F6E4F"/>
          </w:tcPr>
          <w:p w:rsidR="00A77B3E">
            <w:pPr>
              <w:jc w:val="left"/>
              <w:rPr>
                <w:b w:val="0"/>
                <w:color w:val="000000"/>
              </w:rPr>
            </w:pPr>
            <w:r>
              <w:rPr>
                <w:b/>
                <w:color w:val="FFFFFF"/>
              </w:rPr>
              <w:t>Change</w:t>
            </w:r>
          </w:p>
        </w:tc>
      </w:tr>
      <w:tr>
        <w:tblPrEx>
          <w:tblW w:w="5000" w:type="pct"/>
        </w:tblPrEx>
        <w:tc>
          <w:tcPr>
            <w:shd w:val="clear" w:color="auto" w:fill="auto"/>
          </w:tcPr>
          <w:p w:rsidR="00A77B3E">
            <w:pPr>
              <w:jc w:val="left"/>
              <w:rPr>
                <w:b w:val="0"/>
                <w:color w:val="000000"/>
              </w:rPr>
            </w:pPr>
            <w:r>
              <w:rPr>
                <w:b w:val="0"/>
                <w:color w:val="000000"/>
              </w:rPr>
              <w:t>Cost of goods sold</w:t>
            </w:r>
          </w:p>
        </w:tc>
        <w:tc>
          <w:tcPr>
            <w:shd w:val="clear" w:color="auto" w:fill="auto"/>
          </w:tcPr>
          <w:p w:rsidR="00A77B3E">
            <w:pPr>
              <w:jc w:val="left"/>
              <w:rPr>
                <w:b w:val="0"/>
                <w:color w:val="000000"/>
              </w:rPr>
            </w:pPr>
            <w:r>
              <w:rPr>
                <w:b w:val="0"/>
                <w:color w:val="000000"/>
              </w:rPr>
              <w:t>$2.9M</w:t>
            </w:r>
          </w:p>
        </w:tc>
        <w:tc>
          <w:tcPr>
            <w:shd w:val="clear" w:color="auto" w:fill="auto"/>
          </w:tcPr>
          <w:p w:rsidR="00A77B3E">
            <w:pPr>
              <w:jc w:val="left"/>
              <w:rPr>
                <w:b w:val="0"/>
                <w:color w:val="000000"/>
              </w:rPr>
            </w:pPr>
            <w:r>
              <w:rPr>
                <w:b w:val="0"/>
                <w:color w:val="000000"/>
              </w:rPr>
              <w:t>$3.9M</w:t>
            </w:r>
          </w:p>
        </w:tc>
        <w:tc>
          <w:tcPr>
            <w:shd w:val="clear" w:color="auto" w:fill="auto"/>
          </w:tcPr>
          <w:p w:rsidR="00A77B3E">
            <w:pPr>
              <w:jc w:val="left"/>
              <w:rPr>
                <w:b w:val="0"/>
                <w:color w:val="000000"/>
              </w:rPr>
            </w:pPr>
            <w:r>
              <w:rPr>
                <w:b w:val="0"/>
                <w:color w:val="000000"/>
              </w:rPr>
              <w:t>+34%</w:t>
            </w:r>
          </w:p>
        </w:tc>
      </w:tr>
      <w:tr>
        <w:tblPrEx>
          <w:tblW w:w="5000" w:type="pct"/>
        </w:tblPrEx>
        <w:tc>
          <w:tcPr>
            <w:shd w:val="clear" w:color="auto" w:fill="auto"/>
          </w:tcPr>
          <w:p w:rsidR="00A77B3E">
            <w:pPr>
              <w:jc w:val="left"/>
              <w:rPr>
                <w:b w:val="0"/>
                <w:color w:val="000000"/>
              </w:rPr>
            </w:pPr>
            <w:r>
              <w:rPr>
                <w:b w:val="0"/>
                <w:color w:val="000000"/>
              </w:rPr>
              <w:t>Marketing</w:t>
            </w:r>
          </w:p>
        </w:tc>
        <w:tc>
          <w:tcPr>
            <w:shd w:val="clear" w:color="auto" w:fill="auto"/>
          </w:tcPr>
          <w:p w:rsidR="00A77B3E">
            <w:pPr>
              <w:jc w:val="left"/>
              <w:rPr>
                <w:b w:val="0"/>
                <w:color w:val="000000"/>
              </w:rPr>
            </w:pPr>
            <w:r>
              <w:rPr>
                <w:b w:val="0"/>
                <w:color w:val="000000"/>
              </w:rPr>
              <w:t>$0.7M</w:t>
            </w:r>
          </w:p>
        </w:tc>
        <w:tc>
          <w:tcPr>
            <w:shd w:val="clear" w:color="auto" w:fill="auto"/>
          </w:tcPr>
          <w:p w:rsidR="00A77B3E">
            <w:pPr>
              <w:jc w:val="left"/>
              <w:rPr>
                <w:b w:val="0"/>
                <w:color w:val="000000"/>
              </w:rPr>
            </w:pPr>
            <w:r>
              <w:rPr>
                <w:b w:val="0"/>
                <w:color w:val="000000"/>
              </w:rPr>
              <w:t>$1.0M</w:t>
            </w:r>
          </w:p>
        </w:tc>
        <w:tc>
          <w:tcPr>
            <w:shd w:val="clear" w:color="auto" w:fill="auto"/>
          </w:tcPr>
          <w:p w:rsidR="00A77B3E">
            <w:pPr>
              <w:jc w:val="left"/>
              <w:rPr>
                <w:b w:val="0"/>
                <w:color w:val="000000"/>
              </w:rPr>
            </w:pPr>
            <w:r>
              <w:rPr>
                <w:b w:val="0"/>
                <w:color w:val="000000"/>
              </w:rPr>
              <w:t>+43%</w:t>
            </w:r>
          </w:p>
        </w:tc>
      </w:tr>
      <w:tr>
        <w:tblPrEx>
          <w:tblW w:w="5000" w:type="pct"/>
        </w:tblPrEx>
        <w:tc>
          <w:tcPr>
            <w:shd w:val="clear" w:color="auto" w:fill="auto"/>
          </w:tcPr>
          <w:p w:rsidR="00A77B3E">
            <w:pPr>
              <w:jc w:val="left"/>
              <w:rPr>
                <w:b w:val="0"/>
                <w:color w:val="000000"/>
              </w:rPr>
            </w:pPr>
            <w:r>
              <w:rPr>
                <w:b w:val="0"/>
                <w:color w:val="000000"/>
              </w:rPr>
              <w:t>Operations</w:t>
            </w:r>
          </w:p>
        </w:tc>
        <w:tc>
          <w:tcPr>
            <w:shd w:val="clear" w:color="auto" w:fill="auto"/>
          </w:tcPr>
          <w:p w:rsidR="00A77B3E">
            <w:pPr>
              <w:jc w:val="left"/>
              <w:rPr>
                <w:b w:val="0"/>
                <w:color w:val="000000"/>
              </w:rPr>
            </w:pPr>
            <w:r>
              <w:rPr>
                <w:b w:val="0"/>
                <w:color w:val="000000"/>
              </w:rPr>
              <w:t>$1.1M</w:t>
            </w:r>
          </w:p>
        </w:tc>
        <w:tc>
          <w:tcPr>
            <w:shd w:val="clear" w:color="auto" w:fill="auto"/>
          </w:tcPr>
          <w:p w:rsidR="00A77B3E">
            <w:pPr>
              <w:jc w:val="left"/>
              <w:rPr>
                <w:b w:val="0"/>
                <w:color w:val="000000"/>
              </w:rPr>
            </w:pPr>
            <w:r>
              <w:rPr>
                <w:b w:val="0"/>
                <w:color w:val="000000"/>
              </w:rPr>
              <w:t>$1.5M</w:t>
            </w:r>
          </w:p>
        </w:tc>
        <w:tc>
          <w:tcPr>
            <w:shd w:val="clear" w:color="auto" w:fill="auto"/>
          </w:tcPr>
          <w:p w:rsidR="00A77B3E">
            <w:pPr>
              <w:jc w:val="left"/>
              <w:rPr>
                <w:b w:val="0"/>
                <w:color w:val="000000"/>
              </w:rPr>
            </w:pPr>
            <w:r>
              <w:rPr>
                <w:b w:val="0"/>
                <w:color w:val="000000"/>
              </w:rPr>
              <w:t>+36%</w:t>
            </w:r>
          </w:p>
        </w:tc>
      </w:tr>
      <w:tr>
        <w:tblPrEx>
          <w:tblW w:w="5000" w:type="pct"/>
        </w:tblPrEx>
        <w:tc>
          <w:tcPr>
            <w:shd w:val="clear" w:color="auto" w:fill="auto"/>
          </w:tcPr>
          <w:p w:rsidR="00A77B3E">
            <w:pPr>
              <w:jc w:val="left"/>
              <w:rPr>
                <w:b w:val="0"/>
                <w:color w:val="000000"/>
              </w:rPr>
            </w:pPr>
            <w:r>
              <w:rPr>
                <w:b w:val="0"/>
                <w:color w:val="000000"/>
              </w:rPr>
              <w:t>G&amp;A</w:t>
            </w:r>
          </w:p>
        </w:tc>
        <w:tc>
          <w:tcPr>
            <w:shd w:val="clear" w:color="auto" w:fill="auto"/>
          </w:tcPr>
          <w:p w:rsidR="00A77B3E">
            <w:pPr>
              <w:jc w:val="left"/>
              <w:rPr>
                <w:b w:val="0"/>
                <w:color w:val="000000"/>
              </w:rPr>
            </w:pPr>
            <w:r>
              <w:rPr>
                <w:b w:val="0"/>
                <w:color w:val="000000"/>
              </w:rPr>
              <w:t>$0.5M</w:t>
            </w:r>
          </w:p>
        </w:tc>
        <w:tc>
          <w:tcPr>
            <w:shd w:val="clear" w:color="auto" w:fill="auto"/>
          </w:tcPr>
          <w:p w:rsidR="00A77B3E">
            <w:pPr>
              <w:jc w:val="left"/>
              <w:rPr>
                <w:b w:val="0"/>
                <w:color w:val="000000"/>
              </w:rPr>
            </w:pPr>
            <w:r>
              <w:rPr>
                <w:b w:val="0"/>
                <w:color w:val="000000"/>
              </w:rPr>
              <w:t>$0.7M</w:t>
            </w:r>
          </w:p>
        </w:tc>
        <w:tc>
          <w:tcPr>
            <w:shd w:val="clear" w:color="auto" w:fill="auto"/>
          </w:tcPr>
          <w:p w:rsidR="00A77B3E">
            <w:pPr>
              <w:jc w:val="left"/>
              <w:rPr>
                <w:b w:val="0"/>
                <w:color w:val="000000"/>
              </w:rPr>
            </w:pPr>
            <w:r>
              <w:rPr>
                <w:b w:val="0"/>
                <w:color w:val="000000"/>
              </w:rPr>
              <w:t>+40%</w:t>
            </w:r>
          </w:p>
        </w:tc>
      </w:tr>
      <w:tr>
        <w:tblPrEx>
          <w:tblW w:w="5000" w:type="pct"/>
        </w:tblPrEx>
        <w:tc>
          <w:tcPr>
            <w:shd w:val="clear" w:color="auto" w:fill="auto"/>
          </w:tcPr>
          <w:p w:rsidR="00A77B3E">
            <w:pPr>
              <w:jc w:val="left"/>
              <w:rPr>
                <w:b w:val="0"/>
                <w:color w:val="000000"/>
              </w:rPr>
            </w:pPr>
            <w:r>
              <w:rPr>
                <w:b w:val="0"/>
                <w:color w:val="000000"/>
              </w:rPr>
              <w:t>R&amp;D</w:t>
            </w:r>
          </w:p>
        </w:tc>
        <w:tc>
          <w:tcPr>
            <w:shd w:val="clear" w:color="auto" w:fill="auto"/>
          </w:tcPr>
          <w:p w:rsidR="00A77B3E">
            <w:pPr>
              <w:jc w:val="left"/>
              <w:rPr>
                <w:b w:val="0"/>
                <w:color w:val="000000"/>
              </w:rPr>
            </w:pPr>
            <w:r>
              <w:rPr>
                <w:b w:val="0"/>
                <w:color w:val="000000"/>
              </w:rPr>
              <w:t>$0.3M</w:t>
            </w:r>
          </w:p>
        </w:tc>
        <w:tc>
          <w:tcPr>
            <w:shd w:val="clear" w:color="auto" w:fill="auto"/>
          </w:tcPr>
          <w:p w:rsidR="00A77B3E">
            <w:pPr>
              <w:jc w:val="left"/>
              <w:rPr>
                <w:b w:val="0"/>
                <w:color w:val="000000"/>
              </w:rPr>
            </w:pPr>
            <w:r>
              <w:rPr>
                <w:b w:val="0"/>
                <w:color w:val="000000"/>
              </w:rPr>
              <w:t>$0.5M</w:t>
            </w:r>
          </w:p>
        </w:tc>
        <w:tc>
          <w:tcPr>
            <w:shd w:val="clear" w:color="auto" w:fill="auto"/>
          </w:tcPr>
          <w:p w:rsidR="00A77B3E">
            <w:pPr>
              <w:jc w:val="left"/>
              <w:rPr>
                <w:b w:val="0"/>
                <w:color w:val="000000"/>
              </w:rPr>
            </w:pPr>
            <w:r>
              <w:rPr>
                <w:b w:val="0"/>
                <w:color w:val="000000"/>
              </w:rPr>
              <w:t>+67%</w:t>
            </w:r>
          </w:p>
        </w:tc>
      </w:tr>
    </w:tbl>
    <w:p w:rsidR="00A77B3E">
      <w:pPr>
        <w:jc w:val="left"/>
      </w:pPr>
    </w:p>
    <w:p w:rsidR="00A77B3E">
      <w:pPr>
        <w:pStyle w:val="Heading1"/>
        <w:jc w:val="left"/>
      </w:pPr>
      <w:bookmarkStart w:id="13" w:name="_Toc256000013"/>
      <w:r>
        <w:t>Operations Review</w:t>
      </w:r>
      <w:bookmarkEnd w:id="13"/>
    </w:p>
    <w:p w:rsidR="00A77B3E">
      <w:pPr>
        <w:pStyle w:val="Heading2"/>
        <w:jc w:val="left"/>
      </w:pPr>
      <w:bookmarkStart w:id="14" w:name="_Toc256000014"/>
      <w:r>
        <w:t>Supply Chain</w:t>
      </w:r>
      <w:bookmarkEnd w:id="14"/>
    </w:p>
    <w:p w:rsidR="00A77B3E">
      <w:pPr>
        <w:pStyle w:val="Heading3"/>
        <w:jc w:val="left"/>
      </w:pPr>
      <w:bookmarkStart w:id="15" w:name="_Toc256000015"/>
      <w:r>
        <w:t>Sourcing</w:t>
      </w:r>
      <w:bookmarkEnd w:id="15"/>
    </w:p>
    <w:p w:rsidR="00A77B3E">
      <w:pPr>
        <w:jc w:val="left"/>
      </w:pPr>
      <w:r>
        <w:t>We consolidated from eighteen to eleven primary suppliers during FY2025, with a focus on partners who can demonstrate transparent labour practices and traceable raw materials.</w:t>
      </w:r>
    </w:p>
    <w:p w:rsidR="00A77B3E">
      <w:pPr>
        <w:pStyle w:val="Heading3"/>
        <w:jc w:val="left"/>
      </w:pPr>
      <w:bookmarkStart w:id="16" w:name="_Toc256000016"/>
      <w:r>
        <w:t>Manufacturing</w:t>
      </w:r>
      <w:bookmarkEnd w:id="16"/>
    </w:p>
    <w:p w:rsidR="00A77B3E">
      <w:pPr>
        <w:jc w:val="left"/>
      </w:pPr>
      <w:r>
        <w:t>Two new cut-and-sew partnerships were added in Portugal and Vietnam, both under multi-year agreements that include shared investment in automation.</w:t>
      </w:r>
    </w:p>
    <w:p w:rsidR="00A77B3E">
      <w:pPr>
        <w:pStyle w:val="Heading2"/>
        <w:jc w:val="left"/>
      </w:pPr>
      <w:bookmarkStart w:id="17" w:name="_Toc256000017"/>
      <w:r>
        <w:t>Warehousing</w:t>
      </w:r>
      <w:bookmarkEnd w:id="17"/>
    </w:p>
    <w:p w:rsidR="00A77B3E">
      <w:pPr>
        <w:jc w:val="left"/>
      </w:pPr>
      <w:r>
        <w:t>The Portland warehouse expanded from 12,000 to 18,000 square feet, eliminating the need for third-party overflow storage during peak season.</w:t>
      </w:r>
    </w:p>
    <w:p w:rsidR="00A77B3E">
      <w:pPr>
        <w:pStyle w:val="Heading1"/>
        <w:jc w:val="left"/>
      </w:pPr>
      <w:bookmarkStart w:id="18" w:name="_Toc256000018"/>
      <w:r>
        <w:t>Sustainability Report</w:t>
      </w:r>
      <w:bookmarkEnd w:id="18"/>
    </w:p>
    <w:p w:rsidR="00A77B3E">
      <w:pPr>
        <w:pStyle w:val="Heading2"/>
        <w:jc w:val="left"/>
      </w:pPr>
      <w:bookmarkStart w:id="19" w:name="_Toc256000019"/>
      <w:r>
        <w:t>Materials</w:t>
      </w:r>
      <w:bookmarkEnd w:id="19"/>
    </w:p>
    <w:p w:rsidR="00A77B3E">
      <w:pPr>
        <w:jc w:val="left"/>
      </w:pPr>
      <w:r>
        <w:t>Seventy-two percent of catalog items now use recycled or certified organic materials for their primary fabrics, up from fifty-one percent in FY2024.</w:t>
      </w:r>
    </w:p>
    <w:p w:rsidR="00A77B3E">
      <w:pPr>
        <w:pStyle w:val="Heading2"/>
        <w:jc w:val="left"/>
      </w:pPr>
      <w:bookmarkStart w:id="20" w:name="_Toc256000020"/>
      <w:r>
        <w:t>Energy</w:t>
      </w:r>
      <w:bookmarkEnd w:id="20"/>
    </w:p>
    <w:p w:rsidR="00A77B3E">
      <w:pPr>
        <w:jc w:val="left"/>
      </w:pPr>
      <w:r>
        <w:t>Scope 1 and Scope 2 emissions decreased by twelve percent year-over-year, largely from the switch to renewable electricity at the Portland facility.</w:t>
      </w:r>
    </w:p>
    <w:p w:rsidR="00A77B3E">
      <w:pPr>
        <w:pStyle w:val="Heading2"/>
        <w:jc w:val="left"/>
      </w:pPr>
      <w:bookmarkStart w:id="21" w:name="_Toc256000021"/>
      <w:r>
        <w:t>Segment Mix</w:t>
      </w:r>
      <w:bookmarkEnd w:id="21"/>
    </w:p>
    <w:p w:rsidR="00A77B3E">
      <w:pPr>
        <w:jc w:val="left"/>
      </w:pPr>
      <w:r>
        <w:drawing>
          <wp:inline>
            <wp:extent cx="5334000" cy="31750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334000" cy="3175000"/>
                    </a:xfrm>
                    <a:prstGeom prst="rect">
                      <a:avLst/>
                    </a:prstGeom>
                  </pic:spPr>
                </pic:pic>
              </a:graphicData>
            </a:graphic>
          </wp:inline>
        </w:drawing>
      </w:r>
    </w:p>
    <w:p w:rsidR="00A77B3E">
      <w:pPr>
        <w:pStyle w:val="Heading1"/>
        <w:jc w:val="left"/>
      </w:pPr>
      <w:bookmarkStart w:id="22" w:name="_Toc256000022"/>
      <w:r>
        <w:t>Governance</w:t>
      </w:r>
      <w:bookmarkEnd w:id="22"/>
    </w:p>
    <w:p w:rsidR="00A77B3E">
      <w:pPr>
        <w:jc w:val="left"/>
      </w:pPr>
      <w:r>
        <w:t>Our governance framework is built on three commitments: transparent reporting, independent oversight, and a direct feedback channel for employees and suppliers.</w:t>
      </w:r>
    </w:p>
    <w:p w:rsidR="00A77B3E">
      <w:pPr>
        <w:numPr>
          <w:ilvl w:val="0"/>
          <w:numId w:val="1"/>
        </w:numPr>
        <w:jc w:val="left"/>
      </w:pPr>
      <w:r>
        <w:t>Board composition — five members, three independent.</w:t>
      </w:r>
    </w:p>
    <w:p w:rsidR="00A77B3E">
      <w:pPr>
        <w:numPr>
          <w:ilvl w:val="0"/>
          <w:numId w:val="1"/>
        </w:numPr>
        <w:jc w:val="left"/>
      </w:pPr>
      <w:r>
        <w:t>Audit committee meets quarterly and reports directly to the board.</w:t>
      </w:r>
    </w:p>
    <w:p w:rsidR="00A77B3E">
      <w:pPr>
        <w:numPr>
          <w:ilvl w:val="0"/>
          <w:numId w:val="1"/>
        </w:numPr>
        <w:jc w:val="left"/>
      </w:pPr>
      <w:r>
        <w:t>Ethics policy updated in FY2025 to include supplier code of conduct.</w:t>
      </w:r>
    </w:p>
    <w:p w:rsidR="00A77B3E">
      <w:pPr>
        <w:numPr>
          <w:ilvl w:val="0"/>
          <w:numId w:val="1"/>
        </w:numPr>
        <w:jc w:val="left"/>
      </w:pPr>
      <w:r>
        <w:t>Whistleblower channel operated by an external third party.</w:t>
      </w:r>
    </w:p>
    <w:p w:rsidR="00A77B3E">
      <w:pPr>
        <w:pStyle w:val="Heading1"/>
        <w:numPr>
          <w:ilvl w:val="0"/>
          <w:numId w:val="0"/>
        </w:numPr>
        <w:jc w:val="left"/>
      </w:pPr>
      <w:bookmarkStart w:id="23" w:name="_Toc256000023"/>
      <w:r>
        <w:t>Financial Statements</w:t>
      </w:r>
      <w:bookmarkEnd w:id="23"/>
    </w:p>
    <w:p w:rsidR="00A77B3E">
      <w:pPr>
        <w:pStyle w:val="Heading2"/>
        <w:numPr>
          <w:ilvl w:val="0"/>
          <w:numId w:val="0"/>
        </w:numPr>
        <w:jc w:val="left"/>
      </w:pPr>
      <w:bookmarkStart w:id="24" w:name="_Toc256000024"/>
      <w:r>
        <w:t>Income Statement</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80"/>
        <w:gridCol w:w="2448"/>
        <w:gridCol w:w="2448"/>
      </w:tblGrid>
      <w:tr>
        <w:tblPrEx>
          <w:tblW w:w="5000" w:type="pct"/>
        </w:tblPrEx>
        <w:tc>
          <w:tcPr>
            <w:shd w:val="clear" w:color="auto" w:fill="2F6E4F"/>
          </w:tcPr>
          <w:p w:rsidR="00A77B3E">
            <w:pPr>
              <w:numPr>
                <w:ilvl w:val="0"/>
                <w:numId w:val="0"/>
              </w:numPr>
              <w:jc w:val="left"/>
              <w:rPr>
                <w:b/>
                <w:color w:val="FFFFFF"/>
              </w:rPr>
            </w:pPr>
            <w:r>
              <w:rPr>
                <w:b/>
                <w:color w:val="FFFFFF"/>
              </w:rPr>
              <w:t>Line item</w:t>
            </w:r>
          </w:p>
        </w:tc>
        <w:tc>
          <w:tcPr>
            <w:shd w:val="clear" w:color="auto" w:fill="2F6E4F"/>
          </w:tcPr>
          <w:p w:rsidR="00A77B3E">
            <w:pPr>
              <w:numPr>
                <w:ilvl w:val="0"/>
                <w:numId w:val="0"/>
              </w:numPr>
              <w:jc w:val="left"/>
              <w:rPr>
                <w:b/>
                <w:color w:val="FFFFFF"/>
              </w:rPr>
            </w:pPr>
            <w:r>
              <w:rPr>
                <w:b/>
                <w:color w:val="FFFFFF"/>
              </w:rPr>
              <w:t>FY2024</w:t>
            </w:r>
          </w:p>
        </w:tc>
        <w:tc>
          <w:tcPr>
            <w:shd w:val="clear" w:color="auto" w:fill="2F6E4F"/>
          </w:tcPr>
          <w:p w:rsidR="00A77B3E">
            <w:pPr>
              <w:numPr>
                <w:ilvl w:val="0"/>
                <w:numId w:val="0"/>
              </w:numPr>
              <w:jc w:val="left"/>
              <w:rPr>
                <w:b w:val="0"/>
                <w:color w:val="000000"/>
              </w:rPr>
            </w:pPr>
            <w:r>
              <w:rPr>
                <w:b/>
                <w:color w:val="FFFFFF"/>
              </w:rPr>
              <w:t>FY2025</w:t>
            </w:r>
          </w:p>
        </w:tc>
      </w:tr>
      <w:tr>
        <w:tblPrEx>
          <w:tblW w:w="5000" w:type="pct"/>
        </w:tblPrEx>
        <w:tc>
          <w:tcPr>
            <w:shd w:val="clear" w:color="auto" w:fill="auto"/>
          </w:tcPr>
          <w:p w:rsidR="00A77B3E">
            <w:pPr>
              <w:numPr>
                <w:ilvl w:val="0"/>
                <w:numId w:val="0"/>
              </w:numPr>
              <w:jc w:val="left"/>
              <w:rPr>
                <w:b w:val="0"/>
                <w:color w:val="000000"/>
              </w:rPr>
            </w:pPr>
            <w:r>
              <w:rPr>
                <w:b w:val="0"/>
                <w:color w:val="000000"/>
              </w:rPr>
              <w:t>Revenue</w:t>
            </w:r>
          </w:p>
        </w:tc>
        <w:tc>
          <w:tcPr>
            <w:shd w:val="clear" w:color="auto" w:fill="auto"/>
          </w:tcPr>
          <w:p w:rsidR="00A77B3E">
            <w:pPr>
              <w:numPr>
                <w:ilvl w:val="0"/>
                <w:numId w:val="0"/>
              </w:numPr>
              <w:jc w:val="left"/>
              <w:rPr>
                <w:b w:val="0"/>
                <w:color w:val="000000"/>
              </w:rPr>
            </w:pPr>
            <w:r>
              <w:rPr>
                <w:b w:val="0"/>
                <w:color w:val="000000"/>
              </w:rPr>
              <w:t>$6.0M</w:t>
            </w:r>
          </w:p>
        </w:tc>
        <w:tc>
          <w:tcPr>
            <w:shd w:val="clear" w:color="auto" w:fill="auto"/>
          </w:tcPr>
          <w:p w:rsidR="00A77B3E">
            <w:pPr>
              <w:numPr>
                <w:ilvl w:val="0"/>
                <w:numId w:val="0"/>
              </w:numPr>
              <w:jc w:val="left"/>
              <w:rPr>
                <w:b w:val="0"/>
                <w:color w:val="000000"/>
              </w:rPr>
            </w:pPr>
            <w:r>
              <w:rPr>
                <w:b w:val="0"/>
                <w:color w:val="000000"/>
              </w:rPr>
              <w:t>$8.7M</w:t>
            </w:r>
          </w:p>
        </w:tc>
      </w:tr>
      <w:tr>
        <w:tblPrEx>
          <w:tblW w:w="5000" w:type="pct"/>
        </w:tblPrEx>
        <w:tc>
          <w:tcPr>
            <w:shd w:val="clear" w:color="auto" w:fill="auto"/>
          </w:tcPr>
          <w:p w:rsidR="00A77B3E">
            <w:pPr>
              <w:numPr>
                <w:ilvl w:val="0"/>
                <w:numId w:val="0"/>
              </w:numPr>
              <w:jc w:val="left"/>
              <w:rPr>
                <w:b w:val="0"/>
                <w:color w:val="000000"/>
              </w:rPr>
            </w:pPr>
            <w:r>
              <w:rPr>
                <w:b w:val="0"/>
                <w:color w:val="000000"/>
              </w:rPr>
              <w:t>Cost of goods</w:t>
            </w:r>
          </w:p>
        </w:tc>
        <w:tc>
          <w:tcPr>
            <w:shd w:val="clear" w:color="auto" w:fill="auto"/>
          </w:tcPr>
          <w:p w:rsidR="00A77B3E">
            <w:pPr>
              <w:numPr>
                <w:ilvl w:val="0"/>
                <w:numId w:val="0"/>
              </w:numPr>
              <w:jc w:val="left"/>
              <w:rPr>
                <w:b w:val="0"/>
                <w:color w:val="000000"/>
              </w:rPr>
            </w:pPr>
            <w:r>
              <w:rPr>
                <w:b w:val="0"/>
                <w:color w:val="000000"/>
              </w:rPr>
              <w:t>$2.9M</w:t>
            </w:r>
          </w:p>
        </w:tc>
        <w:tc>
          <w:tcPr>
            <w:shd w:val="clear" w:color="auto" w:fill="auto"/>
          </w:tcPr>
          <w:p w:rsidR="00A77B3E">
            <w:pPr>
              <w:numPr>
                <w:ilvl w:val="0"/>
                <w:numId w:val="0"/>
              </w:numPr>
              <w:jc w:val="left"/>
              <w:rPr>
                <w:b w:val="0"/>
                <w:color w:val="000000"/>
              </w:rPr>
            </w:pPr>
            <w:r>
              <w:rPr>
                <w:b w:val="0"/>
                <w:color w:val="000000"/>
              </w:rPr>
              <w:t>$3.9M</w:t>
            </w:r>
          </w:p>
        </w:tc>
      </w:tr>
      <w:tr>
        <w:tblPrEx>
          <w:tblW w:w="5000" w:type="pct"/>
        </w:tblPrEx>
        <w:tc>
          <w:tcPr>
            <w:shd w:val="clear" w:color="auto" w:fill="auto"/>
          </w:tcPr>
          <w:p w:rsidR="00A77B3E">
            <w:pPr>
              <w:numPr>
                <w:ilvl w:val="0"/>
                <w:numId w:val="0"/>
              </w:numPr>
              <w:jc w:val="left"/>
              <w:rPr>
                <w:b w:val="0"/>
                <w:color w:val="000000"/>
              </w:rPr>
            </w:pPr>
            <w:r>
              <w:rPr>
                <w:b w:val="0"/>
                <w:color w:val="000000"/>
              </w:rPr>
              <w:t>Gross profit</w:t>
            </w:r>
          </w:p>
        </w:tc>
        <w:tc>
          <w:tcPr>
            <w:shd w:val="clear" w:color="auto" w:fill="auto"/>
          </w:tcPr>
          <w:p w:rsidR="00A77B3E">
            <w:pPr>
              <w:numPr>
                <w:ilvl w:val="0"/>
                <w:numId w:val="0"/>
              </w:numPr>
              <w:jc w:val="left"/>
              <w:rPr>
                <w:b w:val="0"/>
                <w:color w:val="000000"/>
              </w:rPr>
            </w:pPr>
            <w:r>
              <w:rPr>
                <w:b w:val="0"/>
                <w:color w:val="000000"/>
              </w:rPr>
              <w:t>$3.1M</w:t>
            </w:r>
          </w:p>
        </w:tc>
        <w:tc>
          <w:tcPr>
            <w:shd w:val="clear" w:color="auto" w:fill="auto"/>
          </w:tcPr>
          <w:p w:rsidR="00A77B3E">
            <w:pPr>
              <w:numPr>
                <w:ilvl w:val="0"/>
                <w:numId w:val="0"/>
              </w:numPr>
              <w:jc w:val="left"/>
              <w:rPr>
                <w:b w:val="0"/>
                <w:color w:val="000000"/>
              </w:rPr>
            </w:pPr>
            <w:r>
              <w:rPr>
                <w:b w:val="0"/>
                <w:color w:val="000000"/>
              </w:rPr>
              <w:t>$4.8M</w:t>
            </w:r>
          </w:p>
        </w:tc>
      </w:tr>
      <w:tr>
        <w:tblPrEx>
          <w:tblW w:w="5000" w:type="pct"/>
        </w:tblPrEx>
        <w:tc>
          <w:tcPr>
            <w:shd w:val="clear" w:color="auto" w:fill="auto"/>
          </w:tcPr>
          <w:p w:rsidR="00A77B3E">
            <w:pPr>
              <w:numPr>
                <w:ilvl w:val="0"/>
                <w:numId w:val="0"/>
              </w:numPr>
              <w:jc w:val="left"/>
              <w:rPr>
                <w:b w:val="0"/>
                <w:color w:val="000000"/>
              </w:rPr>
            </w:pPr>
            <w:r>
              <w:rPr>
                <w:b w:val="0"/>
                <w:color w:val="000000"/>
              </w:rPr>
              <w:t>Operating exp.</w:t>
            </w:r>
          </w:p>
        </w:tc>
        <w:tc>
          <w:tcPr>
            <w:shd w:val="clear" w:color="auto" w:fill="auto"/>
          </w:tcPr>
          <w:p w:rsidR="00A77B3E">
            <w:pPr>
              <w:numPr>
                <w:ilvl w:val="0"/>
                <w:numId w:val="0"/>
              </w:numPr>
              <w:jc w:val="left"/>
              <w:rPr>
                <w:b w:val="0"/>
                <w:color w:val="000000"/>
              </w:rPr>
            </w:pPr>
            <w:r>
              <w:rPr>
                <w:b w:val="0"/>
                <w:color w:val="000000"/>
              </w:rPr>
              <w:t>$2.6M</w:t>
            </w:r>
          </w:p>
        </w:tc>
        <w:tc>
          <w:tcPr>
            <w:shd w:val="clear" w:color="auto" w:fill="auto"/>
          </w:tcPr>
          <w:p w:rsidR="00A77B3E">
            <w:pPr>
              <w:numPr>
                <w:ilvl w:val="0"/>
                <w:numId w:val="0"/>
              </w:numPr>
              <w:jc w:val="left"/>
              <w:rPr>
                <w:b w:val="0"/>
                <w:color w:val="000000"/>
              </w:rPr>
            </w:pPr>
            <w:r>
              <w:rPr>
                <w:b w:val="0"/>
                <w:color w:val="000000"/>
              </w:rPr>
              <w:t>$3.7M</w:t>
            </w:r>
          </w:p>
        </w:tc>
      </w:tr>
      <w:tr>
        <w:tblPrEx>
          <w:tblW w:w="5000" w:type="pct"/>
        </w:tblPrEx>
        <w:tc>
          <w:tcPr>
            <w:shd w:val="clear" w:color="auto" w:fill="auto"/>
          </w:tcPr>
          <w:p w:rsidR="00A77B3E">
            <w:pPr>
              <w:numPr>
                <w:ilvl w:val="0"/>
                <w:numId w:val="0"/>
              </w:numPr>
              <w:jc w:val="left"/>
              <w:rPr>
                <w:b w:val="0"/>
                <w:color w:val="000000"/>
              </w:rPr>
            </w:pPr>
            <w:r>
              <w:rPr>
                <w:b w:val="0"/>
                <w:color w:val="000000"/>
              </w:rPr>
              <w:t>Operating income</w:t>
            </w:r>
          </w:p>
        </w:tc>
        <w:tc>
          <w:tcPr>
            <w:shd w:val="clear" w:color="auto" w:fill="auto"/>
          </w:tcPr>
          <w:p w:rsidR="00A77B3E">
            <w:pPr>
              <w:numPr>
                <w:ilvl w:val="0"/>
                <w:numId w:val="0"/>
              </w:numPr>
              <w:jc w:val="left"/>
              <w:rPr>
                <w:b w:val="0"/>
                <w:color w:val="000000"/>
              </w:rPr>
            </w:pPr>
            <w:r>
              <w:rPr>
                <w:b w:val="0"/>
                <w:color w:val="000000"/>
              </w:rPr>
              <w:t>$0.5M</w:t>
            </w:r>
          </w:p>
        </w:tc>
        <w:tc>
          <w:tcPr>
            <w:shd w:val="clear" w:color="auto" w:fill="auto"/>
          </w:tcPr>
          <w:p w:rsidR="00A77B3E">
            <w:pPr>
              <w:numPr>
                <w:ilvl w:val="0"/>
                <w:numId w:val="0"/>
              </w:numPr>
              <w:jc w:val="left"/>
              <w:rPr>
                <w:b w:val="0"/>
                <w:color w:val="000000"/>
              </w:rPr>
            </w:pPr>
            <w:r>
              <w:rPr>
                <w:b w:val="0"/>
                <w:color w:val="000000"/>
              </w:rPr>
              <w:t>$1.1M</w:t>
            </w:r>
          </w:p>
        </w:tc>
      </w:tr>
      <w:tr>
        <w:tblPrEx>
          <w:tblW w:w="5000" w:type="pct"/>
        </w:tblPrEx>
        <w:tc>
          <w:tcPr>
            <w:shd w:val="clear" w:color="auto" w:fill="auto"/>
          </w:tcPr>
          <w:p w:rsidR="00A77B3E">
            <w:pPr>
              <w:numPr>
                <w:ilvl w:val="0"/>
                <w:numId w:val="0"/>
              </w:numPr>
              <w:jc w:val="left"/>
              <w:rPr>
                <w:b w:val="0"/>
                <w:color w:val="000000"/>
              </w:rPr>
            </w:pPr>
            <w:r>
              <w:rPr>
                <w:b w:val="0"/>
                <w:color w:val="000000"/>
              </w:rPr>
              <w:t>Net income</w:t>
            </w:r>
          </w:p>
        </w:tc>
        <w:tc>
          <w:tcPr>
            <w:shd w:val="clear" w:color="auto" w:fill="auto"/>
          </w:tcPr>
          <w:p w:rsidR="00A77B3E">
            <w:pPr>
              <w:numPr>
                <w:ilvl w:val="0"/>
                <w:numId w:val="0"/>
              </w:numPr>
              <w:jc w:val="left"/>
              <w:rPr>
                <w:b w:val="0"/>
                <w:color w:val="000000"/>
              </w:rPr>
            </w:pPr>
            <w:r>
              <w:rPr>
                <w:b w:val="0"/>
                <w:color w:val="000000"/>
              </w:rPr>
              <w:t>$0.4M</w:t>
            </w:r>
          </w:p>
        </w:tc>
        <w:tc>
          <w:tcPr>
            <w:shd w:val="clear" w:color="auto" w:fill="auto"/>
          </w:tcPr>
          <w:p w:rsidR="00A77B3E">
            <w:pPr>
              <w:numPr>
                <w:ilvl w:val="0"/>
                <w:numId w:val="0"/>
              </w:numPr>
              <w:jc w:val="left"/>
              <w:rPr>
                <w:b w:val="0"/>
                <w:color w:val="000000"/>
              </w:rPr>
            </w:pPr>
            <w:r>
              <w:rPr>
                <w:b w:val="0"/>
                <w:color w:val="000000"/>
              </w:rPr>
              <w:t>$0.9M</w:t>
            </w:r>
          </w:p>
        </w:tc>
      </w:tr>
    </w:tbl>
    <w:p w:rsidR="00A77B3E">
      <w:pPr>
        <w:numPr>
          <w:ilvl w:val="0"/>
          <w:numId w:val="0"/>
        </w:numPr>
        <w:jc w:val="left"/>
      </w:pPr>
    </w:p>
    <w:p w:rsidR="00A77B3E">
      <w:pPr>
        <w:pStyle w:val="Heading2"/>
        <w:numPr>
          <w:ilvl w:val="0"/>
          <w:numId w:val="0"/>
        </w:numPr>
        <w:jc w:val="left"/>
      </w:pPr>
      <w:bookmarkStart w:id="25" w:name="_Toc256000025"/>
      <w:r>
        <w:t>Balance Sheet</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328"/>
        <w:gridCol w:w="2624"/>
        <w:gridCol w:w="2624"/>
      </w:tblGrid>
      <w:tr>
        <w:tblPrEx>
          <w:tblW w:w="5000" w:type="pct"/>
        </w:tblPrEx>
        <w:tc>
          <w:tcPr>
            <w:shd w:val="clear" w:color="auto" w:fill="2F6E4F"/>
          </w:tcPr>
          <w:p w:rsidR="00A77B3E">
            <w:pPr>
              <w:numPr>
                <w:ilvl w:val="0"/>
                <w:numId w:val="0"/>
              </w:numPr>
              <w:jc w:val="left"/>
              <w:rPr>
                <w:b/>
                <w:color w:val="FFFFFF"/>
              </w:rPr>
            </w:pPr>
            <w:r>
              <w:rPr>
                <w:b/>
                <w:color w:val="FFFFFF"/>
              </w:rPr>
              <w:t>Line item</w:t>
            </w:r>
          </w:p>
        </w:tc>
        <w:tc>
          <w:tcPr>
            <w:shd w:val="clear" w:color="auto" w:fill="2F6E4F"/>
          </w:tcPr>
          <w:p w:rsidR="00A77B3E">
            <w:pPr>
              <w:numPr>
                <w:ilvl w:val="0"/>
                <w:numId w:val="0"/>
              </w:numPr>
              <w:jc w:val="left"/>
              <w:rPr>
                <w:b/>
                <w:color w:val="FFFFFF"/>
              </w:rPr>
            </w:pPr>
            <w:r>
              <w:rPr>
                <w:b/>
                <w:color w:val="FFFFFF"/>
              </w:rPr>
              <w:t>FY2024</w:t>
            </w:r>
          </w:p>
        </w:tc>
        <w:tc>
          <w:tcPr>
            <w:shd w:val="clear" w:color="auto" w:fill="2F6E4F"/>
          </w:tcPr>
          <w:p w:rsidR="00A77B3E">
            <w:pPr>
              <w:numPr>
                <w:ilvl w:val="0"/>
                <w:numId w:val="0"/>
              </w:numPr>
              <w:jc w:val="left"/>
              <w:rPr>
                <w:b w:val="0"/>
                <w:color w:val="000000"/>
              </w:rPr>
            </w:pPr>
            <w:r>
              <w:rPr>
                <w:b/>
                <w:color w:val="FFFFFF"/>
              </w:rPr>
              <w:t>FY2025</w:t>
            </w:r>
          </w:p>
        </w:tc>
      </w:tr>
      <w:tr>
        <w:tblPrEx>
          <w:tblW w:w="5000" w:type="pct"/>
        </w:tblPrEx>
        <w:tc>
          <w:tcPr>
            <w:shd w:val="clear" w:color="auto" w:fill="auto"/>
          </w:tcPr>
          <w:p w:rsidR="00A77B3E">
            <w:pPr>
              <w:numPr>
                <w:ilvl w:val="0"/>
                <w:numId w:val="0"/>
              </w:numPr>
              <w:jc w:val="left"/>
              <w:rPr>
                <w:b w:val="0"/>
                <w:color w:val="000000"/>
              </w:rPr>
            </w:pPr>
            <w:r>
              <w:rPr>
                <w:b w:val="0"/>
                <w:color w:val="000000"/>
              </w:rPr>
              <w:t>Cash</w:t>
            </w:r>
          </w:p>
        </w:tc>
        <w:tc>
          <w:tcPr>
            <w:shd w:val="clear" w:color="auto" w:fill="auto"/>
          </w:tcPr>
          <w:p w:rsidR="00A77B3E">
            <w:pPr>
              <w:numPr>
                <w:ilvl w:val="0"/>
                <w:numId w:val="0"/>
              </w:numPr>
              <w:jc w:val="left"/>
              <w:rPr>
                <w:b w:val="0"/>
                <w:color w:val="000000"/>
              </w:rPr>
            </w:pPr>
            <w:r>
              <w:rPr>
                <w:b w:val="0"/>
                <w:color w:val="000000"/>
              </w:rPr>
              <w:t>$1.1M</w:t>
            </w:r>
          </w:p>
        </w:tc>
        <w:tc>
          <w:tcPr>
            <w:shd w:val="clear" w:color="auto" w:fill="auto"/>
          </w:tcPr>
          <w:p w:rsidR="00A77B3E">
            <w:pPr>
              <w:numPr>
                <w:ilvl w:val="0"/>
                <w:numId w:val="0"/>
              </w:numPr>
              <w:jc w:val="left"/>
              <w:rPr>
                <w:b w:val="0"/>
                <w:color w:val="000000"/>
              </w:rPr>
            </w:pPr>
            <w:r>
              <w:rPr>
                <w:b w:val="0"/>
                <w:color w:val="000000"/>
              </w:rPr>
              <w:t>$2.0M</w:t>
            </w:r>
          </w:p>
        </w:tc>
      </w:tr>
      <w:tr>
        <w:tblPrEx>
          <w:tblW w:w="5000" w:type="pct"/>
        </w:tblPrEx>
        <w:tc>
          <w:tcPr>
            <w:shd w:val="clear" w:color="auto" w:fill="auto"/>
          </w:tcPr>
          <w:p w:rsidR="00A77B3E">
            <w:pPr>
              <w:numPr>
                <w:ilvl w:val="0"/>
                <w:numId w:val="0"/>
              </w:numPr>
              <w:jc w:val="left"/>
              <w:rPr>
                <w:b w:val="0"/>
                <w:color w:val="000000"/>
              </w:rPr>
            </w:pPr>
            <w:r>
              <w:rPr>
                <w:b w:val="0"/>
                <w:color w:val="000000"/>
              </w:rPr>
              <w:t>Inventory</w:t>
            </w:r>
          </w:p>
        </w:tc>
        <w:tc>
          <w:tcPr>
            <w:shd w:val="clear" w:color="auto" w:fill="auto"/>
          </w:tcPr>
          <w:p w:rsidR="00A77B3E">
            <w:pPr>
              <w:numPr>
                <w:ilvl w:val="0"/>
                <w:numId w:val="0"/>
              </w:numPr>
              <w:jc w:val="left"/>
              <w:rPr>
                <w:b w:val="0"/>
                <w:color w:val="000000"/>
              </w:rPr>
            </w:pPr>
            <w:r>
              <w:rPr>
                <w:b w:val="0"/>
                <w:color w:val="000000"/>
              </w:rPr>
              <w:t>$1.4M</w:t>
            </w:r>
          </w:p>
        </w:tc>
        <w:tc>
          <w:tcPr>
            <w:shd w:val="clear" w:color="auto" w:fill="auto"/>
          </w:tcPr>
          <w:p w:rsidR="00A77B3E">
            <w:pPr>
              <w:numPr>
                <w:ilvl w:val="0"/>
                <w:numId w:val="0"/>
              </w:numPr>
              <w:jc w:val="left"/>
              <w:rPr>
                <w:b w:val="0"/>
                <w:color w:val="000000"/>
              </w:rPr>
            </w:pPr>
            <w:r>
              <w:rPr>
                <w:b w:val="0"/>
                <w:color w:val="000000"/>
              </w:rPr>
              <w:t>$2.1M</w:t>
            </w:r>
          </w:p>
        </w:tc>
      </w:tr>
      <w:tr>
        <w:tblPrEx>
          <w:tblW w:w="5000" w:type="pct"/>
        </w:tblPrEx>
        <w:tc>
          <w:tcPr>
            <w:shd w:val="clear" w:color="auto" w:fill="auto"/>
          </w:tcPr>
          <w:p w:rsidR="00A77B3E">
            <w:pPr>
              <w:numPr>
                <w:ilvl w:val="0"/>
                <w:numId w:val="0"/>
              </w:numPr>
              <w:jc w:val="left"/>
              <w:rPr>
                <w:b w:val="0"/>
                <w:color w:val="000000"/>
              </w:rPr>
            </w:pPr>
            <w:r>
              <w:rPr>
                <w:b w:val="0"/>
                <w:color w:val="000000"/>
              </w:rPr>
              <w:t>Total assets</w:t>
            </w:r>
          </w:p>
        </w:tc>
        <w:tc>
          <w:tcPr>
            <w:shd w:val="clear" w:color="auto" w:fill="auto"/>
          </w:tcPr>
          <w:p w:rsidR="00A77B3E">
            <w:pPr>
              <w:numPr>
                <w:ilvl w:val="0"/>
                <w:numId w:val="0"/>
              </w:numPr>
              <w:jc w:val="left"/>
              <w:rPr>
                <w:b w:val="0"/>
                <w:color w:val="000000"/>
              </w:rPr>
            </w:pPr>
            <w:r>
              <w:rPr>
                <w:b w:val="0"/>
                <w:color w:val="000000"/>
              </w:rPr>
              <w:t>$4.8M</w:t>
            </w:r>
          </w:p>
        </w:tc>
        <w:tc>
          <w:tcPr>
            <w:shd w:val="clear" w:color="auto" w:fill="auto"/>
          </w:tcPr>
          <w:p w:rsidR="00A77B3E">
            <w:pPr>
              <w:numPr>
                <w:ilvl w:val="0"/>
                <w:numId w:val="0"/>
              </w:numPr>
              <w:jc w:val="left"/>
              <w:rPr>
                <w:b w:val="0"/>
                <w:color w:val="000000"/>
              </w:rPr>
            </w:pPr>
            <w:r>
              <w:rPr>
                <w:b w:val="0"/>
                <w:color w:val="000000"/>
              </w:rPr>
              <w:t>$7.0M</w:t>
            </w:r>
          </w:p>
        </w:tc>
      </w:tr>
      <w:tr>
        <w:tblPrEx>
          <w:tblW w:w="5000" w:type="pct"/>
        </w:tblPrEx>
        <w:tc>
          <w:tcPr>
            <w:shd w:val="clear" w:color="auto" w:fill="auto"/>
          </w:tcPr>
          <w:p w:rsidR="00A77B3E">
            <w:pPr>
              <w:numPr>
                <w:ilvl w:val="0"/>
                <w:numId w:val="0"/>
              </w:numPr>
              <w:jc w:val="left"/>
              <w:rPr>
                <w:b w:val="0"/>
                <w:color w:val="000000"/>
              </w:rPr>
            </w:pPr>
            <w:r>
              <w:rPr>
                <w:b w:val="0"/>
                <w:color w:val="000000"/>
              </w:rPr>
              <w:t>Total liabilities</w:t>
            </w:r>
          </w:p>
        </w:tc>
        <w:tc>
          <w:tcPr>
            <w:shd w:val="clear" w:color="auto" w:fill="auto"/>
          </w:tcPr>
          <w:p w:rsidR="00A77B3E">
            <w:pPr>
              <w:numPr>
                <w:ilvl w:val="0"/>
                <w:numId w:val="0"/>
              </w:numPr>
              <w:jc w:val="left"/>
              <w:rPr>
                <w:b w:val="0"/>
                <w:color w:val="000000"/>
              </w:rPr>
            </w:pPr>
            <w:r>
              <w:rPr>
                <w:b w:val="0"/>
                <w:color w:val="000000"/>
              </w:rPr>
              <w:t>$1.9M</w:t>
            </w:r>
          </w:p>
        </w:tc>
        <w:tc>
          <w:tcPr>
            <w:shd w:val="clear" w:color="auto" w:fill="auto"/>
          </w:tcPr>
          <w:p w:rsidR="00A77B3E">
            <w:pPr>
              <w:numPr>
                <w:ilvl w:val="0"/>
                <w:numId w:val="0"/>
              </w:numPr>
              <w:jc w:val="left"/>
              <w:rPr>
                <w:b w:val="0"/>
                <w:color w:val="000000"/>
              </w:rPr>
            </w:pPr>
            <w:r>
              <w:rPr>
                <w:b w:val="0"/>
                <w:color w:val="000000"/>
              </w:rPr>
              <w:t>$2.5M</w:t>
            </w:r>
          </w:p>
        </w:tc>
      </w:tr>
      <w:tr>
        <w:tblPrEx>
          <w:tblW w:w="5000" w:type="pct"/>
        </w:tblPrEx>
        <w:tc>
          <w:tcPr>
            <w:shd w:val="clear" w:color="auto" w:fill="auto"/>
          </w:tcPr>
          <w:p w:rsidR="00A77B3E">
            <w:pPr>
              <w:numPr>
                <w:ilvl w:val="0"/>
                <w:numId w:val="0"/>
              </w:numPr>
              <w:jc w:val="left"/>
              <w:rPr>
                <w:b w:val="0"/>
                <w:color w:val="000000"/>
              </w:rPr>
            </w:pPr>
            <w:r>
              <w:rPr>
                <w:b w:val="0"/>
                <w:color w:val="000000"/>
              </w:rPr>
              <w:t>Equity</w:t>
            </w:r>
          </w:p>
        </w:tc>
        <w:tc>
          <w:tcPr>
            <w:shd w:val="clear" w:color="auto" w:fill="auto"/>
          </w:tcPr>
          <w:p w:rsidR="00A77B3E">
            <w:pPr>
              <w:numPr>
                <w:ilvl w:val="0"/>
                <w:numId w:val="0"/>
              </w:numPr>
              <w:jc w:val="left"/>
              <w:rPr>
                <w:b w:val="0"/>
                <w:color w:val="000000"/>
              </w:rPr>
            </w:pPr>
            <w:r>
              <w:rPr>
                <w:b w:val="0"/>
                <w:color w:val="000000"/>
              </w:rPr>
              <w:t>$2.9M</w:t>
            </w:r>
          </w:p>
        </w:tc>
        <w:tc>
          <w:tcPr>
            <w:shd w:val="clear" w:color="auto" w:fill="auto"/>
          </w:tcPr>
          <w:p w:rsidR="00A77B3E">
            <w:pPr>
              <w:numPr>
                <w:ilvl w:val="0"/>
                <w:numId w:val="0"/>
              </w:numPr>
              <w:jc w:val="left"/>
              <w:rPr>
                <w:b w:val="0"/>
                <w:color w:val="000000"/>
              </w:rPr>
            </w:pPr>
            <w:r>
              <w:rPr>
                <w:b w:val="0"/>
                <w:color w:val="000000"/>
              </w:rPr>
              <w:t>$4.5M</w:t>
            </w:r>
          </w:p>
        </w:tc>
      </w:tr>
    </w:tbl>
    <w:p w:rsidR="00A77B3E">
      <w:pPr>
        <w:numPr>
          <w:ilvl w:val="0"/>
          <w:numId w:val="0"/>
        </w:numPr>
        <w:jc w:val="left"/>
      </w:pPr>
    </w:p>
    <w:p w:rsidR="00A77B3E">
      <w:pPr>
        <w:pStyle w:val="Heading2"/>
        <w:numPr>
          <w:ilvl w:val="0"/>
          <w:numId w:val="0"/>
        </w:numPr>
        <w:jc w:val="left"/>
      </w:pPr>
      <w:bookmarkStart w:id="26" w:name="_Toc256000026"/>
      <w:r>
        <w:t>Cash Flow</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492"/>
        <w:gridCol w:w="2542"/>
        <w:gridCol w:w="2542"/>
      </w:tblGrid>
      <w:tr>
        <w:tblPrEx>
          <w:tblW w:w="5000" w:type="pct"/>
        </w:tblPrEx>
        <w:tc>
          <w:tcPr>
            <w:shd w:val="clear" w:color="auto" w:fill="2F6E4F"/>
          </w:tcPr>
          <w:p w:rsidR="00A77B3E">
            <w:pPr>
              <w:numPr>
                <w:ilvl w:val="0"/>
                <w:numId w:val="0"/>
              </w:numPr>
              <w:jc w:val="left"/>
              <w:rPr>
                <w:b/>
                <w:color w:val="FFFFFF"/>
              </w:rPr>
            </w:pPr>
            <w:r>
              <w:rPr>
                <w:b/>
                <w:color w:val="FFFFFF"/>
              </w:rPr>
              <w:t>Line item</w:t>
            </w:r>
          </w:p>
        </w:tc>
        <w:tc>
          <w:tcPr>
            <w:shd w:val="clear" w:color="auto" w:fill="2F6E4F"/>
          </w:tcPr>
          <w:p w:rsidR="00A77B3E">
            <w:pPr>
              <w:numPr>
                <w:ilvl w:val="0"/>
                <w:numId w:val="0"/>
              </w:numPr>
              <w:jc w:val="left"/>
              <w:rPr>
                <w:b/>
                <w:color w:val="FFFFFF"/>
              </w:rPr>
            </w:pPr>
            <w:r>
              <w:rPr>
                <w:b/>
                <w:color w:val="FFFFFF"/>
              </w:rPr>
              <w:t>FY2024</w:t>
            </w:r>
          </w:p>
        </w:tc>
        <w:tc>
          <w:tcPr>
            <w:shd w:val="clear" w:color="auto" w:fill="2F6E4F"/>
          </w:tcPr>
          <w:p w:rsidR="00A77B3E">
            <w:pPr>
              <w:numPr>
                <w:ilvl w:val="0"/>
                <w:numId w:val="0"/>
              </w:numPr>
              <w:jc w:val="left"/>
              <w:rPr>
                <w:b w:val="0"/>
                <w:color w:val="000000"/>
              </w:rPr>
            </w:pPr>
            <w:r>
              <w:rPr>
                <w:b/>
                <w:color w:val="FFFFFF"/>
              </w:rPr>
              <w:t>FY2025</w:t>
            </w:r>
          </w:p>
        </w:tc>
      </w:tr>
      <w:tr>
        <w:tblPrEx>
          <w:tblW w:w="5000" w:type="pct"/>
        </w:tblPrEx>
        <w:tc>
          <w:tcPr>
            <w:shd w:val="clear" w:color="auto" w:fill="auto"/>
          </w:tcPr>
          <w:p w:rsidR="00A77B3E">
            <w:pPr>
              <w:numPr>
                <w:ilvl w:val="0"/>
                <w:numId w:val="0"/>
              </w:numPr>
              <w:jc w:val="left"/>
              <w:rPr>
                <w:b w:val="0"/>
                <w:color w:val="000000"/>
              </w:rPr>
            </w:pPr>
            <w:r>
              <w:rPr>
                <w:b w:val="0"/>
                <w:color w:val="000000"/>
              </w:rPr>
              <w:t>From operations</w:t>
            </w:r>
          </w:p>
        </w:tc>
        <w:tc>
          <w:tcPr>
            <w:shd w:val="clear" w:color="auto" w:fill="auto"/>
          </w:tcPr>
          <w:p w:rsidR="00A77B3E">
            <w:pPr>
              <w:numPr>
                <w:ilvl w:val="0"/>
                <w:numId w:val="0"/>
              </w:numPr>
              <w:jc w:val="left"/>
              <w:rPr>
                <w:b w:val="0"/>
                <w:color w:val="000000"/>
              </w:rPr>
            </w:pPr>
            <w:r>
              <w:rPr>
                <w:b w:val="0"/>
                <w:color w:val="000000"/>
              </w:rPr>
              <w:t>$0.6M</w:t>
            </w:r>
          </w:p>
        </w:tc>
        <w:tc>
          <w:tcPr>
            <w:shd w:val="clear" w:color="auto" w:fill="auto"/>
          </w:tcPr>
          <w:p w:rsidR="00A77B3E">
            <w:pPr>
              <w:numPr>
                <w:ilvl w:val="0"/>
                <w:numId w:val="0"/>
              </w:numPr>
              <w:jc w:val="left"/>
              <w:rPr>
                <w:b w:val="0"/>
                <w:color w:val="000000"/>
              </w:rPr>
            </w:pPr>
            <w:r>
              <w:rPr>
                <w:b w:val="0"/>
                <w:color w:val="000000"/>
              </w:rPr>
              <w:t>$1.3M</w:t>
            </w:r>
          </w:p>
        </w:tc>
      </w:tr>
      <w:tr>
        <w:tblPrEx>
          <w:tblW w:w="5000" w:type="pct"/>
        </w:tblPrEx>
        <w:tc>
          <w:tcPr>
            <w:shd w:val="clear" w:color="auto" w:fill="auto"/>
          </w:tcPr>
          <w:p w:rsidR="00A77B3E">
            <w:pPr>
              <w:numPr>
                <w:ilvl w:val="0"/>
                <w:numId w:val="0"/>
              </w:numPr>
              <w:jc w:val="left"/>
              <w:rPr>
                <w:b w:val="0"/>
                <w:color w:val="000000"/>
              </w:rPr>
            </w:pPr>
            <w:r>
              <w:rPr>
                <w:b w:val="0"/>
                <w:color w:val="000000"/>
              </w:rPr>
              <w:t>From investing</w:t>
            </w:r>
          </w:p>
        </w:tc>
        <w:tc>
          <w:tcPr>
            <w:shd w:val="clear" w:color="auto" w:fill="auto"/>
          </w:tcPr>
          <w:p w:rsidR="00A77B3E">
            <w:pPr>
              <w:numPr>
                <w:ilvl w:val="0"/>
                <w:numId w:val="0"/>
              </w:numPr>
              <w:jc w:val="left"/>
              <w:rPr>
                <w:b w:val="0"/>
                <w:color w:val="000000"/>
              </w:rPr>
            </w:pPr>
            <w:r>
              <w:rPr>
                <w:b w:val="0"/>
                <w:color w:val="000000"/>
              </w:rPr>
              <w:t>($0.3M)</w:t>
            </w:r>
          </w:p>
        </w:tc>
        <w:tc>
          <w:tcPr>
            <w:shd w:val="clear" w:color="auto" w:fill="auto"/>
          </w:tcPr>
          <w:p w:rsidR="00A77B3E">
            <w:pPr>
              <w:numPr>
                <w:ilvl w:val="0"/>
                <w:numId w:val="0"/>
              </w:numPr>
              <w:jc w:val="left"/>
              <w:rPr>
                <w:b w:val="0"/>
                <w:color w:val="000000"/>
              </w:rPr>
            </w:pPr>
            <w:r>
              <w:rPr>
                <w:b w:val="0"/>
                <w:color w:val="000000"/>
              </w:rPr>
              <w:t>($0.8M)</w:t>
            </w:r>
          </w:p>
        </w:tc>
      </w:tr>
      <w:tr>
        <w:tblPrEx>
          <w:tblW w:w="5000" w:type="pct"/>
        </w:tblPrEx>
        <w:tc>
          <w:tcPr>
            <w:shd w:val="clear" w:color="auto" w:fill="auto"/>
          </w:tcPr>
          <w:p w:rsidR="00A77B3E">
            <w:pPr>
              <w:numPr>
                <w:ilvl w:val="0"/>
                <w:numId w:val="0"/>
              </w:numPr>
              <w:jc w:val="left"/>
              <w:rPr>
                <w:b w:val="0"/>
                <w:color w:val="000000"/>
              </w:rPr>
            </w:pPr>
            <w:r>
              <w:rPr>
                <w:b w:val="0"/>
                <w:color w:val="000000"/>
              </w:rPr>
              <w:t>From financing</w:t>
            </w:r>
          </w:p>
        </w:tc>
        <w:tc>
          <w:tcPr>
            <w:shd w:val="clear" w:color="auto" w:fill="auto"/>
          </w:tcPr>
          <w:p w:rsidR="00A77B3E">
            <w:pPr>
              <w:numPr>
                <w:ilvl w:val="0"/>
                <w:numId w:val="0"/>
              </w:numPr>
              <w:jc w:val="left"/>
              <w:rPr>
                <w:b w:val="0"/>
                <w:color w:val="000000"/>
              </w:rPr>
            </w:pPr>
            <w:r>
              <w:rPr>
                <w:b w:val="0"/>
                <w:color w:val="000000"/>
              </w:rPr>
              <w:t>($0.1M)</w:t>
            </w:r>
          </w:p>
        </w:tc>
        <w:tc>
          <w:tcPr>
            <w:shd w:val="clear" w:color="auto" w:fill="auto"/>
          </w:tcPr>
          <w:p w:rsidR="00A77B3E">
            <w:pPr>
              <w:numPr>
                <w:ilvl w:val="0"/>
                <w:numId w:val="0"/>
              </w:numPr>
              <w:jc w:val="left"/>
              <w:rPr>
                <w:b w:val="0"/>
                <w:color w:val="000000"/>
              </w:rPr>
            </w:pPr>
            <w:r>
              <w:rPr>
                <w:b w:val="0"/>
                <w:color w:val="000000"/>
              </w:rPr>
              <w:t>($0.2M)</w:t>
            </w:r>
          </w:p>
        </w:tc>
      </w:tr>
      <w:tr>
        <w:tblPrEx>
          <w:tblW w:w="5000" w:type="pct"/>
        </w:tblPrEx>
        <w:tc>
          <w:tcPr>
            <w:shd w:val="clear" w:color="auto" w:fill="auto"/>
          </w:tcPr>
          <w:p w:rsidR="00A77B3E">
            <w:pPr>
              <w:numPr>
                <w:ilvl w:val="0"/>
                <w:numId w:val="0"/>
              </w:numPr>
              <w:jc w:val="left"/>
              <w:rPr>
                <w:b w:val="0"/>
                <w:color w:val="000000"/>
              </w:rPr>
            </w:pPr>
            <w:r>
              <w:rPr>
                <w:b w:val="0"/>
                <w:color w:val="000000"/>
              </w:rPr>
              <w:t>Net change</w:t>
            </w:r>
          </w:p>
        </w:tc>
        <w:tc>
          <w:tcPr>
            <w:shd w:val="clear" w:color="auto" w:fill="auto"/>
          </w:tcPr>
          <w:p w:rsidR="00A77B3E">
            <w:pPr>
              <w:numPr>
                <w:ilvl w:val="0"/>
                <w:numId w:val="0"/>
              </w:numPr>
              <w:jc w:val="left"/>
              <w:rPr>
                <w:b w:val="0"/>
                <w:color w:val="000000"/>
              </w:rPr>
            </w:pPr>
            <w:r>
              <w:rPr>
                <w:b w:val="0"/>
                <w:color w:val="000000"/>
              </w:rPr>
              <w:t>$0.2M</w:t>
            </w:r>
          </w:p>
        </w:tc>
        <w:tc>
          <w:tcPr>
            <w:shd w:val="clear" w:color="auto" w:fill="auto"/>
          </w:tcPr>
          <w:p w:rsidR="00A77B3E">
            <w:pPr>
              <w:numPr>
                <w:ilvl w:val="0"/>
                <w:numId w:val="0"/>
              </w:numPr>
              <w:jc w:val="left"/>
              <w:rPr>
                <w:b w:val="0"/>
                <w:color w:val="000000"/>
              </w:rPr>
            </w:pPr>
            <w:r>
              <w:rPr>
                <w:b w:val="0"/>
                <w:color w:val="000000"/>
              </w:rPr>
              <w:t>$0.3M</w:t>
            </w:r>
          </w:p>
        </w:tc>
      </w:tr>
    </w:tbl>
    <w:p w:rsidR="00A77B3E">
      <w:pPr>
        <w:numPr>
          <w:ilvl w:val="0"/>
          <w:numId w:val="0"/>
        </w:numPr>
        <w:jc w:val="left"/>
      </w:pPr>
    </w:p>
    <w:p w:rsidR="00A77B3E">
      <w:pPr>
        <w:numPr>
          <w:ilvl w:val="0"/>
          <w:numId w:val="0"/>
        </w:numPr>
        <w:jc w:val="left"/>
      </w:pP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805BCE"/>
    <w:pPr>
      <w:ind w:left="480"/>
    </w:pPr>
  </w:style>
  <w:style w:type="paragraph" w:styleId="TOC4">
    <w:name w:val="toc 4"/>
    <w:basedOn w:val="Normal"/>
    <w:next w:val="Normal"/>
    <w:autoRedefine/>
    <w:rsid w:val="00805BCE"/>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6</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Meridian Outdoor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Meridian Outdoor Co. — Annual Report 2025</dc:title>
  <dc:subject>Annual Report</dc:subject>
  <dc:creator>Elena Márquez, CFO</dc:creator>
  <cp:keywords>annual-report, fy2025, retail, outdoor</cp:keywords>
  <cp:revision>1</cp:revision>
</cp:coreProperties>
</file>